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3722C9"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715793B6" w:rsidR="00062C87" w:rsidRPr="00987203" w:rsidRDefault="00975C60" w:rsidP="00AC6117">
                <w:pPr>
                  <w:rPr>
                    <w:sz w:val="20"/>
                    <w:szCs w:val="20"/>
                  </w:rPr>
                </w:pPr>
                <w:r>
                  <w:rPr>
                    <w:sz w:val="20"/>
                    <w:szCs w:val="20"/>
                  </w:rPr>
                  <w:t xml:space="preserve">Talent Acquisition </w:t>
                </w:r>
                <w:r w:rsidR="00E11082">
                  <w:rPr>
                    <w:sz w:val="20"/>
                    <w:szCs w:val="20"/>
                  </w:rPr>
                  <w:t>Co-ordinator</w:t>
                </w:r>
                <w:r>
                  <w:rPr>
                    <w:sz w:val="20"/>
                    <w:szCs w:val="20"/>
                  </w:rPr>
                  <w:t xml:space="preserve"> </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3D52A46E" w:rsidR="00062C87" w:rsidRPr="00987203" w:rsidRDefault="00975C60" w:rsidP="00AC6117">
                <w:pPr>
                  <w:rPr>
                    <w:sz w:val="20"/>
                    <w:szCs w:val="20"/>
                  </w:rPr>
                </w:pPr>
                <w:r>
                  <w:rPr>
                    <w:sz w:val="20"/>
                    <w:szCs w:val="20"/>
                  </w:rPr>
                  <w:t>Hesley Hall</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25E1DD62" w:rsidR="00062C87" w:rsidRPr="00987203" w:rsidRDefault="00975C60" w:rsidP="00AC6117">
            <w:pPr>
              <w:rPr>
                <w:sz w:val="20"/>
                <w:szCs w:val="20"/>
              </w:rPr>
            </w:pPr>
            <w:r>
              <w:rPr>
                <w:sz w:val="20"/>
                <w:szCs w:val="20"/>
              </w:rPr>
              <w:t>People – Talent Acquisition</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72DCC034" w:rsidR="00062C87" w:rsidRPr="00987203" w:rsidRDefault="00975C60" w:rsidP="00AC6117">
                <w:pPr>
                  <w:rPr>
                    <w:sz w:val="20"/>
                    <w:szCs w:val="20"/>
                  </w:rPr>
                </w:pPr>
                <w:r>
                  <w:rPr>
                    <w:sz w:val="20"/>
                    <w:szCs w:val="20"/>
                  </w:rPr>
                  <w:t>Head of Talent Acquisition</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483718BB" w:rsidR="00062C87" w:rsidRPr="00987203" w:rsidRDefault="003722C9" w:rsidP="00AC6117">
            <w:pPr>
              <w:rPr>
                <w:sz w:val="20"/>
                <w:szCs w:val="20"/>
              </w:rPr>
            </w:pPr>
            <w:sdt>
              <w:sdtPr>
                <w:rPr>
                  <w:sz w:val="20"/>
                  <w:szCs w:val="20"/>
                </w:rPr>
                <w:id w:val="-256598056"/>
                <w:placeholder>
                  <w:docPart w:val="83218CBCB52743F18D965A3D10F26686"/>
                </w:placeholder>
              </w:sdtPr>
              <w:sdtEndPr/>
              <w:sdtContent>
                <w:r w:rsidR="00975C60">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0BF75BFD" w:rsidR="00062C87" w:rsidRPr="00987203" w:rsidRDefault="003722C9" w:rsidP="00AC6117">
            <w:pPr>
              <w:rPr>
                <w:sz w:val="20"/>
                <w:szCs w:val="20"/>
              </w:rPr>
            </w:pPr>
            <w:sdt>
              <w:sdtPr>
                <w:rPr>
                  <w:sz w:val="20"/>
                  <w:szCs w:val="20"/>
                </w:rPr>
                <w:id w:val="419526380"/>
                <w:placeholder>
                  <w:docPart w:val="43A23DC7824F419282AE20EAEA0CFFCA"/>
                </w:placeholder>
              </w:sdtPr>
              <w:sdtEndPr/>
              <w:sdtContent>
                <w:r w:rsidR="00975C60">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0FD6D8B5" w:rsidR="00062C87" w:rsidRPr="00987203" w:rsidRDefault="0036129E" w:rsidP="00AC6117">
            <w:pPr>
              <w:rPr>
                <w:sz w:val="20"/>
                <w:szCs w:val="20"/>
              </w:rPr>
            </w:pPr>
            <w:r>
              <w:rPr>
                <w:sz w:val="20"/>
                <w:szCs w:val="20"/>
              </w:rPr>
              <w:t>Basic</w:t>
            </w:r>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55ECD8EE" w:rsidR="00062C87" w:rsidRPr="00987203" w:rsidRDefault="003722C9" w:rsidP="00AC6117">
            <w:pPr>
              <w:rPr>
                <w:sz w:val="20"/>
                <w:szCs w:val="20"/>
              </w:rPr>
            </w:pPr>
            <w:sdt>
              <w:sdtPr>
                <w:rPr>
                  <w:sz w:val="20"/>
                  <w:szCs w:val="20"/>
                </w:rPr>
                <w:id w:val="-1425333420"/>
                <w:placeholder>
                  <w:docPart w:val="7E7D80B2525340B7BFB0C4E3DE081C30"/>
                </w:placeholder>
              </w:sdtPr>
              <w:sdtEndPr/>
              <w:sdtContent>
                <w:r w:rsidR="00F7723C">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3D11199B" w:rsidR="00062C87" w:rsidRPr="00987203" w:rsidRDefault="003722C9" w:rsidP="00AC6117">
            <w:pPr>
              <w:rPr>
                <w:sz w:val="20"/>
                <w:szCs w:val="20"/>
              </w:rPr>
            </w:pPr>
            <w:sdt>
              <w:sdtPr>
                <w:rPr>
                  <w:sz w:val="20"/>
                  <w:szCs w:val="20"/>
                </w:rPr>
                <w:id w:val="-1416549673"/>
                <w:placeholder>
                  <w:docPart w:val="AF8E37AFBE89411B9A84D055075235E9"/>
                </w:placeholder>
              </w:sdtPr>
              <w:sdtEndPr/>
              <w:sdtContent>
                <w:r w:rsidR="00201DA8">
                  <w:rPr>
                    <w:rStyle w:val="PlaceholderText"/>
                    <w:sz w:val="20"/>
                    <w:szCs w:val="20"/>
                  </w:rPr>
                  <w:t>No</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2F2618E6" w14:textId="106128DB" w:rsidR="00062C87" w:rsidRPr="00987203" w:rsidRDefault="005A2937" w:rsidP="00945471">
                <w:pPr>
                  <w:rPr>
                    <w:sz w:val="20"/>
                    <w:szCs w:val="20"/>
                  </w:rPr>
                </w:pPr>
                <w:r>
                  <w:rPr>
                    <w:sz w:val="20"/>
                    <w:szCs w:val="20"/>
                  </w:rPr>
                  <w:t xml:space="preserve">To </w:t>
                </w:r>
                <w:r w:rsidR="00755331">
                  <w:rPr>
                    <w:sz w:val="20"/>
                    <w:szCs w:val="20"/>
                  </w:rPr>
                  <w:t>support</w:t>
                </w:r>
                <w:r>
                  <w:rPr>
                    <w:sz w:val="20"/>
                    <w:szCs w:val="20"/>
                  </w:rPr>
                  <w:t xml:space="preserve"> Talent Acquisition </w:t>
                </w:r>
                <w:r w:rsidR="0066084B">
                  <w:rPr>
                    <w:sz w:val="20"/>
                    <w:szCs w:val="20"/>
                  </w:rPr>
                  <w:t>activities in relation to</w:t>
                </w:r>
                <w:r w:rsidR="00877596">
                  <w:rPr>
                    <w:sz w:val="20"/>
                    <w:szCs w:val="20"/>
                  </w:rPr>
                  <w:t xml:space="preserve"> the</w:t>
                </w:r>
                <w:r w:rsidR="0066084B">
                  <w:rPr>
                    <w:sz w:val="20"/>
                    <w:szCs w:val="20"/>
                  </w:rPr>
                  <w:t xml:space="preserve"> </w:t>
                </w:r>
                <w:r w:rsidR="00D745AC">
                  <w:rPr>
                    <w:sz w:val="20"/>
                    <w:szCs w:val="20"/>
                  </w:rPr>
                  <w:t>on-boarding of new colleagues and updates to contra</w:t>
                </w:r>
                <w:r w:rsidR="00877596">
                  <w:rPr>
                    <w:sz w:val="20"/>
                    <w:szCs w:val="20"/>
                  </w:rPr>
                  <w:t xml:space="preserve">cts </w:t>
                </w:r>
                <w:r w:rsidR="00D745AC">
                  <w:rPr>
                    <w:sz w:val="20"/>
                    <w:szCs w:val="20"/>
                  </w:rPr>
                  <w:t>for internal move</w:t>
                </w:r>
                <w:r w:rsidR="00517922">
                  <w:rPr>
                    <w:sz w:val="20"/>
                    <w:szCs w:val="20"/>
                  </w:rPr>
                  <w:t>s</w:t>
                </w:r>
                <w:r w:rsidR="00877596">
                  <w:rPr>
                    <w:sz w:val="20"/>
                    <w:szCs w:val="20"/>
                  </w:rPr>
                  <w:t xml:space="preserve"> for existing colleagues.</w:t>
                </w:r>
                <w:r w:rsidR="00517922">
                  <w:rPr>
                    <w:sz w:val="20"/>
                    <w:szCs w:val="20"/>
                  </w:rPr>
                  <w:t xml:space="preserve"> To support the Talent Acquisition team with arranging and co-ordinating interviews and </w:t>
                </w:r>
                <w:r w:rsidR="00386D4F">
                  <w:rPr>
                    <w:sz w:val="20"/>
                    <w:szCs w:val="20"/>
                  </w:rPr>
                  <w:t>support</w:t>
                </w:r>
                <w:r w:rsidR="00517922">
                  <w:rPr>
                    <w:sz w:val="20"/>
                    <w:szCs w:val="20"/>
                  </w:rPr>
                  <w:t>ing</w:t>
                </w:r>
                <w:r w:rsidR="00386D4F">
                  <w:rPr>
                    <w:sz w:val="20"/>
                    <w:szCs w:val="20"/>
                  </w:rPr>
                  <w:t xml:space="preserve"> </w:t>
                </w:r>
                <w:r w:rsidR="007C12E9">
                  <w:rPr>
                    <w:sz w:val="20"/>
                    <w:szCs w:val="20"/>
                  </w:rPr>
                  <w:t xml:space="preserve">the Talent </w:t>
                </w:r>
                <w:r w:rsidR="00CF52D1">
                  <w:rPr>
                    <w:sz w:val="20"/>
                    <w:szCs w:val="20"/>
                  </w:rPr>
                  <w:t>Acquisition</w:t>
                </w:r>
                <w:r w:rsidR="007C12E9">
                  <w:rPr>
                    <w:sz w:val="20"/>
                    <w:szCs w:val="20"/>
                  </w:rPr>
                  <w:t xml:space="preserve"> strateg</w:t>
                </w:r>
                <w:r w:rsidR="00755331">
                  <w:rPr>
                    <w:sz w:val="20"/>
                    <w:szCs w:val="20"/>
                  </w:rPr>
                  <w:t>y</w:t>
                </w:r>
                <w:r w:rsidR="00517922">
                  <w:rPr>
                    <w:sz w:val="20"/>
                    <w:szCs w:val="20"/>
                  </w:rPr>
                  <w:t xml:space="preserve"> through research activities. </w:t>
                </w:r>
              </w:p>
            </w:sdtContent>
          </w:sdt>
          <w:p w14:paraId="0BFC3000" w14:textId="27601545" w:rsidR="00062C87" w:rsidRPr="00987203" w:rsidRDefault="00062C87" w:rsidP="00AC6117">
            <w:pPr>
              <w:pStyle w:val="Heading1"/>
              <w:rPr>
                <w:rFonts w:ascii="Tahoma" w:hAnsi="Tahoma" w:cs="Tahoma"/>
                <w:sz w:val="20"/>
                <w:szCs w:val="20"/>
              </w:rPr>
            </w:pP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sdt>
            <w:sdtPr>
              <w:rPr>
                <w:rFonts w:ascii="Tahoma" w:eastAsia="Tahoma" w:hAnsi="Tahoma" w:cs="Tahoma"/>
                <w:sz w:val="22"/>
                <w:szCs w:val="22"/>
                <w:lang w:val="en-US" w:eastAsia="en-US"/>
              </w:rPr>
              <w:id w:val="1360017696"/>
              <w:placeholder>
                <w:docPart w:val="A10F9F7972C946908F739D03F9414D3C"/>
              </w:placeholder>
            </w:sdtPr>
            <w:sdtEndPr/>
            <w:sdtContent>
              <w:p w14:paraId="20A45E00" w14:textId="7A4164CA" w:rsidR="00B40392" w:rsidRDefault="00C6002E" w:rsidP="00062C87">
                <w:pPr>
                  <w:pStyle w:val="ListParagraph"/>
                  <w:numPr>
                    <w:ilvl w:val="0"/>
                    <w:numId w:val="15"/>
                  </w:numPr>
                  <w:autoSpaceDE/>
                  <w:autoSpaceDN/>
                  <w:spacing w:before="30" w:after="30"/>
                  <w:contextualSpacing/>
                  <w:rPr>
                    <w:rFonts w:ascii="Tahoma" w:hAnsi="Tahoma" w:cs="Tahoma"/>
                  </w:rPr>
                </w:pPr>
                <w:r>
                  <w:rPr>
                    <w:rFonts w:ascii="Tahoma" w:hAnsi="Tahoma" w:cs="Tahoma"/>
                  </w:rPr>
                  <w:t xml:space="preserve">Ensure all new starters </w:t>
                </w:r>
                <w:r w:rsidR="00301788">
                  <w:rPr>
                    <w:rFonts w:ascii="Tahoma" w:hAnsi="Tahoma" w:cs="Tahoma"/>
                  </w:rPr>
                  <w:t xml:space="preserve">receive an </w:t>
                </w:r>
                <w:r w:rsidR="00B40392">
                  <w:rPr>
                    <w:rFonts w:ascii="Tahoma" w:hAnsi="Tahoma" w:cs="Tahoma"/>
                  </w:rPr>
                  <w:t>excellent experience during their onboarding process</w:t>
                </w:r>
                <w:r w:rsidR="00391BF2">
                  <w:rPr>
                    <w:rFonts w:ascii="Tahoma" w:hAnsi="Tahoma" w:cs="Tahoma"/>
                  </w:rPr>
                  <w:t xml:space="preserve">, through timely, efficient and professional </w:t>
                </w:r>
                <w:r w:rsidR="0093164F">
                  <w:rPr>
                    <w:rFonts w:ascii="Tahoma" w:hAnsi="Tahoma" w:cs="Tahoma"/>
                  </w:rPr>
                  <w:t xml:space="preserve">customer focused </w:t>
                </w:r>
                <w:r w:rsidR="00391BF2">
                  <w:rPr>
                    <w:rFonts w:ascii="Tahoma" w:hAnsi="Tahoma" w:cs="Tahoma"/>
                  </w:rPr>
                  <w:t>interactions</w:t>
                </w:r>
                <w:r w:rsidR="00BF584A">
                  <w:rPr>
                    <w:rFonts w:ascii="Tahoma" w:hAnsi="Tahoma" w:cs="Tahoma"/>
                  </w:rPr>
                  <w:t>.</w:t>
                </w:r>
              </w:p>
              <w:p w14:paraId="7E6B3246" w14:textId="65310203" w:rsidR="0053297C" w:rsidRDefault="00EB4341" w:rsidP="00062C87">
                <w:pPr>
                  <w:pStyle w:val="ListParagraph"/>
                  <w:numPr>
                    <w:ilvl w:val="0"/>
                    <w:numId w:val="15"/>
                  </w:numPr>
                  <w:autoSpaceDE/>
                  <w:autoSpaceDN/>
                  <w:spacing w:before="30" w:after="30"/>
                  <w:contextualSpacing/>
                  <w:rPr>
                    <w:rFonts w:ascii="Tahoma" w:hAnsi="Tahoma" w:cs="Tahoma"/>
                  </w:rPr>
                </w:pPr>
                <w:r>
                  <w:rPr>
                    <w:rFonts w:ascii="Tahoma" w:hAnsi="Tahoma" w:cs="Tahoma"/>
                  </w:rPr>
                  <w:t>Ensure all required vetting is carried out following safer recruitment guidelines</w:t>
                </w:r>
                <w:r w:rsidR="007C0367">
                  <w:rPr>
                    <w:rFonts w:ascii="Tahoma" w:hAnsi="Tahoma" w:cs="Tahoma"/>
                  </w:rPr>
                  <w:t xml:space="preserve"> for external candidates and internal colleagues.</w:t>
                </w:r>
              </w:p>
              <w:p w14:paraId="39228EE6" w14:textId="252E421A" w:rsidR="00BF584A" w:rsidRDefault="0053297C" w:rsidP="00062C87">
                <w:pPr>
                  <w:pStyle w:val="ListParagraph"/>
                  <w:numPr>
                    <w:ilvl w:val="0"/>
                    <w:numId w:val="15"/>
                  </w:numPr>
                  <w:autoSpaceDE/>
                  <w:autoSpaceDN/>
                  <w:spacing w:before="30" w:after="30"/>
                  <w:contextualSpacing/>
                  <w:rPr>
                    <w:rFonts w:ascii="Tahoma" w:hAnsi="Tahoma" w:cs="Tahoma"/>
                  </w:rPr>
                </w:pPr>
                <w:r>
                  <w:rPr>
                    <w:rFonts w:ascii="Tahoma" w:hAnsi="Tahoma" w:cs="Tahoma"/>
                  </w:rPr>
                  <w:t>Manage the central T</w:t>
                </w:r>
                <w:r w:rsidR="0093164F">
                  <w:rPr>
                    <w:rFonts w:ascii="Tahoma" w:hAnsi="Tahoma" w:cs="Tahoma"/>
                  </w:rPr>
                  <w:t xml:space="preserve">alent </w:t>
                </w:r>
                <w:r w:rsidR="007C0367">
                  <w:rPr>
                    <w:rFonts w:ascii="Tahoma" w:hAnsi="Tahoma" w:cs="Tahoma"/>
                  </w:rPr>
                  <w:t>Acquisition</w:t>
                </w:r>
                <w:r>
                  <w:rPr>
                    <w:rFonts w:ascii="Tahoma" w:hAnsi="Tahoma" w:cs="Tahoma"/>
                  </w:rPr>
                  <w:t xml:space="preserve"> team inbox ensuring queries are responded to in line with agreed SLA’s.</w:t>
                </w:r>
              </w:p>
              <w:p w14:paraId="16C91177" w14:textId="2664133D" w:rsidR="00453AAE" w:rsidRDefault="009E0AB2" w:rsidP="00101742">
                <w:pPr>
                  <w:pStyle w:val="ListParagraph"/>
                  <w:numPr>
                    <w:ilvl w:val="0"/>
                    <w:numId w:val="15"/>
                  </w:numPr>
                  <w:autoSpaceDE/>
                  <w:autoSpaceDN/>
                  <w:spacing w:before="30" w:after="30"/>
                  <w:contextualSpacing/>
                  <w:rPr>
                    <w:rFonts w:ascii="Tahoma" w:hAnsi="Tahoma" w:cs="Tahoma"/>
                  </w:rPr>
                </w:pPr>
                <w:r>
                  <w:rPr>
                    <w:rFonts w:ascii="Tahoma" w:hAnsi="Tahoma" w:cs="Tahoma"/>
                  </w:rPr>
                  <w:t>Support T</w:t>
                </w:r>
                <w:r w:rsidR="00101742">
                  <w:rPr>
                    <w:rFonts w:ascii="Tahoma" w:hAnsi="Tahoma" w:cs="Tahoma"/>
                  </w:rPr>
                  <w:t>alent Acquisition</w:t>
                </w:r>
                <w:r>
                  <w:rPr>
                    <w:rFonts w:ascii="Tahoma" w:hAnsi="Tahoma" w:cs="Tahoma"/>
                  </w:rPr>
                  <w:t xml:space="preserve"> Partners with the co-ordination and arrangement of interviews across the organisation. </w:t>
                </w:r>
              </w:p>
              <w:p w14:paraId="4B2AE1F9" w14:textId="2F23E303" w:rsidR="005B7F4B" w:rsidRDefault="005B7F4B" w:rsidP="00101742">
                <w:pPr>
                  <w:pStyle w:val="ListParagraph"/>
                  <w:numPr>
                    <w:ilvl w:val="0"/>
                    <w:numId w:val="15"/>
                  </w:numPr>
                  <w:autoSpaceDE/>
                  <w:autoSpaceDN/>
                  <w:spacing w:before="30" w:after="30"/>
                  <w:contextualSpacing/>
                  <w:rPr>
                    <w:rFonts w:ascii="Tahoma" w:hAnsi="Tahoma" w:cs="Tahoma"/>
                  </w:rPr>
                </w:pPr>
                <w:r>
                  <w:rPr>
                    <w:rFonts w:ascii="Tahoma" w:hAnsi="Tahoma" w:cs="Tahoma"/>
                  </w:rPr>
                  <w:t xml:space="preserve">Administer </w:t>
                </w:r>
                <w:r w:rsidR="00FC433C">
                  <w:rPr>
                    <w:rFonts w:ascii="Tahoma" w:hAnsi="Tahoma" w:cs="Tahoma"/>
                  </w:rPr>
                  <w:t>internal contracts and statements of change</w:t>
                </w:r>
                <w:r w:rsidR="00677C6C">
                  <w:rPr>
                    <w:rFonts w:ascii="Tahoma" w:hAnsi="Tahoma" w:cs="Tahoma"/>
                  </w:rPr>
                  <w:t xml:space="preserve"> and updating the Home Office Sponsor Management System, where appropriate.</w:t>
                </w:r>
              </w:p>
              <w:p w14:paraId="729CD893" w14:textId="364E59C2" w:rsidR="009E62F5" w:rsidRPr="00E9137E" w:rsidRDefault="009E62F5" w:rsidP="00101742">
                <w:pPr>
                  <w:pStyle w:val="ListParagraph"/>
                  <w:numPr>
                    <w:ilvl w:val="0"/>
                    <w:numId w:val="15"/>
                  </w:numPr>
                  <w:autoSpaceDE/>
                  <w:autoSpaceDN/>
                  <w:spacing w:before="30" w:after="30"/>
                  <w:contextualSpacing/>
                  <w:rPr>
                    <w:rFonts w:ascii="Tahoma" w:hAnsi="Tahoma" w:cs="Tahoma"/>
                  </w:rPr>
                </w:pPr>
                <w:r w:rsidRPr="00E9137E">
                  <w:rPr>
                    <w:rFonts w:ascii="Tahoma" w:hAnsi="Tahoma" w:cs="Tahoma"/>
                  </w:rPr>
                  <w:t>Manage the administration of our ATS including ensuring user permissions are up to date</w:t>
                </w:r>
                <w:r w:rsidR="003D7B58" w:rsidRPr="00E9137E">
                  <w:rPr>
                    <w:rFonts w:ascii="Tahoma" w:hAnsi="Tahoma" w:cs="Tahoma"/>
                  </w:rPr>
                  <w:t xml:space="preserve"> and carrying out data cleansing.</w:t>
                </w:r>
              </w:p>
              <w:p w14:paraId="6BDB111E" w14:textId="58D77483" w:rsidR="00867D72" w:rsidRPr="00E9137E" w:rsidRDefault="006140C3" w:rsidP="00101742">
                <w:pPr>
                  <w:pStyle w:val="ListParagraph"/>
                  <w:numPr>
                    <w:ilvl w:val="0"/>
                    <w:numId w:val="15"/>
                  </w:numPr>
                  <w:autoSpaceDE/>
                  <w:autoSpaceDN/>
                  <w:spacing w:before="30" w:after="30"/>
                  <w:contextualSpacing/>
                  <w:rPr>
                    <w:rFonts w:ascii="Tahoma" w:hAnsi="Tahoma" w:cs="Tahoma"/>
                  </w:rPr>
                </w:pPr>
                <w:r w:rsidRPr="00E9137E">
                  <w:rPr>
                    <w:rFonts w:ascii="Tahoma" w:hAnsi="Tahoma" w:cs="Tahoma"/>
                  </w:rPr>
                  <w:t xml:space="preserve">Develop </w:t>
                </w:r>
                <w:r w:rsidR="00740AEF" w:rsidRPr="00E9137E">
                  <w:rPr>
                    <w:rFonts w:ascii="Tahoma" w:hAnsi="Tahoma" w:cs="Tahoma"/>
                  </w:rPr>
                  <w:t xml:space="preserve">and produce </w:t>
                </w:r>
                <w:r w:rsidRPr="00E9137E">
                  <w:rPr>
                    <w:rFonts w:ascii="Tahoma" w:hAnsi="Tahoma" w:cs="Tahoma"/>
                  </w:rPr>
                  <w:t>dashboards and report</w:t>
                </w:r>
                <w:r w:rsidR="00740AEF" w:rsidRPr="00E9137E">
                  <w:rPr>
                    <w:rFonts w:ascii="Tahoma" w:hAnsi="Tahoma" w:cs="Tahoma"/>
                  </w:rPr>
                  <w:t>s</w:t>
                </w:r>
                <w:r w:rsidR="00A629E4" w:rsidRPr="00E9137E">
                  <w:rPr>
                    <w:rFonts w:ascii="Tahoma" w:hAnsi="Tahoma" w:cs="Tahoma"/>
                  </w:rPr>
                  <w:t xml:space="preserve"> </w:t>
                </w:r>
                <w:r w:rsidR="00884EB3" w:rsidRPr="00E9137E">
                  <w:rPr>
                    <w:rFonts w:ascii="Tahoma" w:hAnsi="Tahoma" w:cs="Tahoma"/>
                  </w:rPr>
                  <w:t xml:space="preserve">including overall recruitment, Hiring Manager, onboarding and </w:t>
                </w:r>
                <w:r w:rsidR="00951B95" w:rsidRPr="00E9137E">
                  <w:rPr>
                    <w:rFonts w:ascii="Tahoma" w:hAnsi="Tahoma" w:cs="Tahoma"/>
                  </w:rPr>
                  <w:t>referral</w:t>
                </w:r>
                <w:r w:rsidR="006F71F9" w:rsidRPr="00E9137E">
                  <w:rPr>
                    <w:rFonts w:ascii="Tahoma" w:hAnsi="Tahoma" w:cs="Tahoma"/>
                  </w:rPr>
                  <w:t xml:space="preserve"> dashboards.</w:t>
                </w:r>
              </w:p>
              <w:p w14:paraId="45130984" w14:textId="10CBFF34" w:rsidR="00856DFA" w:rsidRPr="00E9137E" w:rsidRDefault="00856DFA" w:rsidP="00101742">
                <w:pPr>
                  <w:pStyle w:val="ListParagraph"/>
                  <w:numPr>
                    <w:ilvl w:val="0"/>
                    <w:numId w:val="15"/>
                  </w:numPr>
                  <w:autoSpaceDE/>
                  <w:autoSpaceDN/>
                  <w:spacing w:before="30" w:after="30"/>
                  <w:contextualSpacing/>
                  <w:rPr>
                    <w:rFonts w:ascii="Tahoma" w:hAnsi="Tahoma" w:cs="Tahoma"/>
                  </w:rPr>
                </w:pPr>
                <w:r w:rsidRPr="00E9137E">
                  <w:rPr>
                    <w:rFonts w:ascii="Tahoma" w:hAnsi="Tahoma" w:cs="Tahoma"/>
                  </w:rPr>
                  <w:t>Manage the referral bonus scheme</w:t>
                </w:r>
                <w:r w:rsidR="0004778A" w:rsidRPr="00E9137E">
                  <w:rPr>
                    <w:rFonts w:ascii="Tahoma" w:hAnsi="Tahoma" w:cs="Tahoma"/>
                  </w:rPr>
                  <w:t>.</w:t>
                </w:r>
              </w:p>
              <w:p w14:paraId="6C046223" w14:textId="69914DDD" w:rsidR="0054025F" w:rsidRPr="003722C9" w:rsidRDefault="0054025F" w:rsidP="00062C87">
                <w:pPr>
                  <w:pStyle w:val="ListParagraph"/>
                  <w:numPr>
                    <w:ilvl w:val="0"/>
                    <w:numId w:val="15"/>
                  </w:numPr>
                  <w:autoSpaceDE/>
                  <w:autoSpaceDN/>
                  <w:spacing w:before="30" w:after="30"/>
                  <w:contextualSpacing/>
                  <w:rPr>
                    <w:rFonts w:ascii="Tahoma" w:hAnsi="Tahoma" w:cs="Tahoma"/>
                  </w:rPr>
                </w:pPr>
                <w:r w:rsidRPr="003722C9">
                  <w:rPr>
                    <w:rFonts w:ascii="Tahoma" w:hAnsi="Tahoma" w:cs="Tahoma"/>
                    <w:lang w:val="en-US"/>
                  </w:rPr>
                  <w:t>Manage the co-ordination of job profile updates.</w:t>
                </w:r>
              </w:p>
              <w:p w14:paraId="1D2B8CAC" w14:textId="3124CE20" w:rsidR="00657E8A" w:rsidRPr="00E9137E" w:rsidRDefault="00657E8A" w:rsidP="00062C87">
                <w:pPr>
                  <w:pStyle w:val="ListParagraph"/>
                  <w:numPr>
                    <w:ilvl w:val="0"/>
                    <w:numId w:val="15"/>
                  </w:numPr>
                  <w:autoSpaceDE/>
                  <w:autoSpaceDN/>
                  <w:spacing w:before="30" w:after="30"/>
                  <w:contextualSpacing/>
                  <w:rPr>
                    <w:rFonts w:ascii="Tahoma" w:hAnsi="Tahoma" w:cs="Tahoma"/>
                  </w:rPr>
                </w:pPr>
                <w:r w:rsidRPr="00E9137E">
                  <w:rPr>
                    <w:rFonts w:ascii="Tahoma" w:hAnsi="Tahoma" w:cs="Tahoma"/>
                  </w:rPr>
                  <w:t>Support the implementation of the overall Talent Acquisition Strategy</w:t>
                </w:r>
                <w:r w:rsidR="006561B1" w:rsidRPr="00E9137E">
                  <w:rPr>
                    <w:rFonts w:ascii="Tahoma" w:hAnsi="Tahoma" w:cs="Tahoma"/>
                  </w:rPr>
                  <w:t xml:space="preserve"> by</w:t>
                </w:r>
                <w:r w:rsidR="002E017D" w:rsidRPr="00E9137E">
                  <w:rPr>
                    <w:rFonts w:ascii="Tahoma" w:hAnsi="Tahoma" w:cs="Tahoma"/>
                  </w:rPr>
                  <w:t xml:space="preserve"> c</w:t>
                </w:r>
                <w:r w:rsidR="009039D9" w:rsidRPr="00E9137E">
                  <w:rPr>
                    <w:rFonts w:ascii="Tahoma" w:hAnsi="Tahoma" w:cs="Tahoma"/>
                  </w:rPr>
                  <w:t xml:space="preserve">onducting </w:t>
                </w:r>
                <w:r w:rsidR="002E017D" w:rsidRPr="00E9137E">
                  <w:rPr>
                    <w:rFonts w:ascii="Tahoma" w:hAnsi="Tahoma" w:cs="Tahoma"/>
                  </w:rPr>
                  <w:t>research</w:t>
                </w:r>
                <w:r w:rsidR="007C0367" w:rsidRPr="00E9137E">
                  <w:rPr>
                    <w:rFonts w:ascii="Tahoma" w:hAnsi="Tahoma" w:cs="Tahoma"/>
                  </w:rPr>
                  <w:t xml:space="preserve"> and assisting with co-ordination of projects.</w:t>
                </w:r>
              </w:p>
              <w:p w14:paraId="38AC4B7B" w14:textId="5E2FEBC8" w:rsidR="00DF19E3" w:rsidRPr="00E9137E" w:rsidRDefault="00DF19E3" w:rsidP="00DF19E3">
                <w:pPr>
                  <w:pStyle w:val="ListParagraph"/>
                  <w:numPr>
                    <w:ilvl w:val="0"/>
                    <w:numId w:val="15"/>
                  </w:numPr>
                  <w:autoSpaceDE/>
                  <w:autoSpaceDN/>
                  <w:spacing w:before="30" w:after="30"/>
                  <w:contextualSpacing/>
                  <w:rPr>
                    <w:rFonts w:ascii="Tahoma" w:hAnsi="Tahoma" w:cs="Tahoma"/>
                  </w:rPr>
                </w:pPr>
                <w:r w:rsidRPr="00E9137E">
                  <w:rPr>
                    <w:rFonts w:ascii="Tahoma" w:hAnsi="Tahoma" w:cs="Tahoma"/>
                  </w:rPr>
                  <w:t>Role model our EVP and promote Helsey Group as an Employer of Choice</w:t>
                </w:r>
                <w:r w:rsidR="00F85515" w:rsidRPr="00E9137E">
                  <w:rPr>
                    <w:rFonts w:ascii="Tahoma" w:hAnsi="Tahoma" w:cs="Tahoma"/>
                  </w:rPr>
                  <w:t>.</w:t>
                </w:r>
              </w:p>
              <w:p w14:paraId="2446E46C" w14:textId="4AA93A76" w:rsidR="00D20542" w:rsidRPr="00E9137E" w:rsidRDefault="00D20542" w:rsidP="00062C87">
                <w:pPr>
                  <w:pStyle w:val="ListParagraph"/>
                  <w:numPr>
                    <w:ilvl w:val="0"/>
                    <w:numId w:val="15"/>
                  </w:numPr>
                  <w:autoSpaceDE/>
                  <w:autoSpaceDN/>
                  <w:spacing w:before="30" w:after="30"/>
                  <w:contextualSpacing/>
                  <w:rPr>
                    <w:rFonts w:ascii="Tahoma" w:hAnsi="Tahoma" w:cs="Tahoma"/>
                  </w:rPr>
                </w:pPr>
                <w:r w:rsidRPr="00E9137E">
                  <w:rPr>
                    <w:rFonts w:ascii="Tahoma" w:hAnsi="Tahoma" w:cs="Tahoma"/>
                  </w:rPr>
                  <w:t>Facilitate recruitment and interview training for People Managers</w:t>
                </w:r>
                <w:r w:rsidR="0047578B" w:rsidRPr="00E9137E">
                  <w:rPr>
                    <w:rFonts w:ascii="Tahoma" w:hAnsi="Tahoma" w:cs="Tahoma"/>
                  </w:rPr>
                  <w:t>.</w:t>
                </w:r>
              </w:p>
              <w:p w14:paraId="506C193F" w14:textId="4C0A0A14" w:rsidR="00487F6B" w:rsidRPr="00E9137E" w:rsidRDefault="00487F6B" w:rsidP="00062C87">
                <w:pPr>
                  <w:pStyle w:val="ListParagraph"/>
                  <w:numPr>
                    <w:ilvl w:val="0"/>
                    <w:numId w:val="15"/>
                  </w:numPr>
                  <w:autoSpaceDE/>
                  <w:autoSpaceDN/>
                  <w:spacing w:before="30" w:after="30"/>
                  <w:contextualSpacing/>
                  <w:rPr>
                    <w:rFonts w:ascii="Tahoma" w:hAnsi="Tahoma" w:cs="Tahoma"/>
                  </w:rPr>
                </w:pPr>
                <w:r w:rsidRPr="00E9137E">
                  <w:rPr>
                    <w:rFonts w:ascii="Tahoma" w:hAnsi="Tahoma" w:cs="Tahoma"/>
                  </w:rPr>
                  <w:t>Act as a recruitment champion for Hesley Group</w:t>
                </w:r>
                <w:r w:rsidR="00D95DFD" w:rsidRPr="00E9137E">
                  <w:rPr>
                    <w:rFonts w:ascii="Tahoma" w:hAnsi="Tahoma" w:cs="Tahoma"/>
                  </w:rPr>
                  <w:t>, promoting diversity and inclusion</w:t>
                </w:r>
                <w:r w:rsidR="0047578B" w:rsidRPr="00E9137E">
                  <w:rPr>
                    <w:rFonts w:ascii="Tahoma" w:hAnsi="Tahoma" w:cs="Tahoma"/>
                  </w:rPr>
                  <w:t>.</w:t>
                </w:r>
              </w:p>
              <w:p w14:paraId="5D272E29" w14:textId="5B666E46" w:rsidR="0047578B" w:rsidRPr="005B6096" w:rsidRDefault="003722C9" w:rsidP="005B6096">
                <w:pPr>
                  <w:autoSpaceDE/>
                  <w:autoSpaceDN/>
                  <w:spacing w:before="30" w:after="30"/>
                  <w:ind w:left="360"/>
                  <w:contextualSpacing/>
                </w:pPr>
              </w:p>
            </w:sdtContent>
          </w:sdt>
          <w:p w14:paraId="0765A815" w14:textId="77777777" w:rsidR="00062C87" w:rsidRPr="00987203" w:rsidRDefault="00062C87" w:rsidP="00AC6117">
            <w:pPr>
              <w:rPr>
                <w:sz w:val="20"/>
                <w:szCs w:val="20"/>
              </w:rPr>
            </w:pP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lastRenderedPageBreak/>
              <w:t xml:space="preserve">neglect or abuse and how to raise a safeguarding concern as outlined in the organisations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specific job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main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treat others with dignity and respect at all times.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sdtContent>
              <w:sdt>
                <w:sdtPr>
                  <w:rPr>
                    <w:rFonts w:ascii="Tahoma" w:hAnsi="Tahoma" w:cs="Tahoma"/>
                  </w:rPr>
                  <w:id w:val="-437071987"/>
                  <w:placeholder>
                    <w:docPart w:val="88DD1DBE5E9E4DD1B93CBD424E98A01C"/>
                  </w:placeholder>
                </w:sdtPr>
                <w:sdtEndPr/>
                <w:sdtContent>
                  <w:p w14:paraId="667D5F12" w14:textId="77777777" w:rsidR="0073542E" w:rsidRPr="008D250C" w:rsidRDefault="0073542E" w:rsidP="0073542E">
                    <w:pPr>
                      <w:pStyle w:val="ListBullet"/>
                      <w:numPr>
                        <w:ilvl w:val="0"/>
                        <w:numId w:val="0"/>
                      </w:numPr>
                      <w:ind w:left="360" w:hanging="360"/>
                      <w:rPr>
                        <w:rFonts w:ascii="Tahoma" w:hAnsi="Tahoma" w:cs="Tahoma"/>
                        <w:b/>
                        <w:bCs/>
                      </w:rPr>
                    </w:pPr>
                    <w:r w:rsidRPr="008D250C">
                      <w:rPr>
                        <w:rFonts w:ascii="Tahoma" w:hAnsi="Tahoma" w:cs="Tahoma"/>
                        <w:b/>
                        <w:bCs/>
                      </w:rPr>
                      <w:t>Skills/Abilities:</w:t>
                    </w:r>
                  </w:p>
                  <w:p w14:paraId="72B52494" w14:textId="77777777" w:rsidR="0073542E" w:rsidRDefault="0073542E" w:rsidP="0073542E">
                    <w:pPr>
                      <w:pStyle w:val="ListBullet"/>
                      <w:numPr>
                        <w:ilvl w:val="0"/>
                        <w:numId w:val="0"/>
                      </w:numPr>
                      <w:ind w:left="360" w:hanging="360"/>
                      <w:rPr>
                        <w:rFonts w:ascii="Tahoma" w:hAnsi="Tahoma" w:cs="Tahoma"/>
                      </w:rPr>
                    </w:pPr>
                    <w:r>
                      <w:rPr>
                        <w:rFonts w:ascii="Tahoma" w:hAnsi="Tahoma" w:cs="Tahoma"/>
                      </w:rPr>
                      <w:t>Essential:</w:t>
                    </w:r>
                  </w:p>
                  <w:p w14:paraId="7C73E4C8" w14:textId="31F2DBB0" w:rsidR="00305CA4" w:rsidRDefault="008560AC" w:rsidP="0073542E">
                    <w:pPr>
                      <w:pStyle w:val="ListBullet"/>
                      <w:numPr>
                        <w:ilvl w:val="0"/>
                        <w:numId w:val="15"/>
                      </w:numPr>
                      <w:rPr>
                        <w:rFonts w:ascii="Tahoma" w:hAnsi="Tahoma" w:cs="Tahoma"/>
                      </w:rPr>
                    </w:pPr>
                    <w:r>
                      <w:rPr>
                        <w:rFonts w:ascii="Tahoma" w:hAnsi="Tahoma" w:cs="Tahoma"/>
                      </w:rPr>
                      <w:t xml:space="preserve">Excellent verbal and written communication skills with the ability to present information </w:t>
                    </w:r>
                    <w:r w:rsidR="0093565C">
                      <w:rPr>
                        <w:rFonts w:ascii="Tahoma" w:hAnsi="Tahoma" w:cs="Tahoma"/>
                      </w:rPr>
                      <w:t>i</w:t>
                    </w:r>
                    <w:r w:rsidR="00305CA4">
                      <w:rPr>
                        <w:rFonts w:ascii="Tahoma" w:hAnsi="Tahoma" w:cs="Tahoma"/>
                      </w:rPr>
                      <w:t xml:space="preserve">n </w:t>
                    </w:r>
                    <w:r w:rsidR="0093565C">
                      <w:rPr>
                        <w:rFonts w:ascii="Tahoma" w:hAnsi="Tahoma" w:cs="Tahoma"/>
                      </w:rPr>
                      <w:t>various</w:t>
                    </w:r>
                    <w:r w:rsidR="00305CA4">
                      <w:rPr>
                        <w:rFonts w:ascii="Tahoma" w:hAnsi="Tahoma" w:cs="Tahoma"/>
                      </w:rPr>
                      <w:t xml:space="preserve"> formats</w:t>
                    </w:r>
                    <w:r w:rsidR="0093565C">
                      <w:rPr>
                        <w:rFonts w:ascii="Tahoma" w:hAnsi="Tahoma" w:cs="Tahoma"/>
                      </w:rPr>
                      <w:t xml:space="preserve">, eg Powerpoint, Excel. </w:t>
                    </w:r>
                  </w:p>
                  <w:p w14:paraId="2A494950" w14:textId="48242D2F" w:rsidR="0073542E" w:rsidRDefault="00305CA4" w:rsidP="0073542E">
                    <w:pPr>
                      <w:pStyle w:val="ListBullet"/>
                      <w:numPr>
                        <w:ilvl w:val="0"/>
                        <w:numId w:val="15"/>
                      </w:numPr>
                      <w:rPr>
                        <w:rFonts w:ascii="Tahoma" w:hAnsi="Tahoma" w:cs="Tahoma"/>
                      </w:rPr>
                    </w:pPr>
                    <w:r>
                      <w:rPr>
                        <w:rFonts w:ascii="Tahoma" w:hAnsi="Tahoma" w:cs="Tahoma"/>
                      </w:rPr>
                      <w:t>Able to analyse data/information and summarise and present</w:t>
                    </w:r>
                    <w:r w:rsidR="00D440FC">
                      <w:rPr>
                        <w:rFonts w:ascii="Tahoma" w:hAnsi="Tahoma" w:cs="Tahoma"/>
                      </w:rPr>
                      <w:t>.</w:t>
                    </w:r>
                  </w:p>
                  <w:p w14:paraId="588E4C2A" w14:textId="66A615EA" w:rsidR="0073542E" w:rsidRDefault="00865B95" w:rsidP="0073542E">
                    <w:pPr>
                      <w:pStyle w:val="ListBullet"/>
                      <w:numPr>
                        <w:ilvl w:val="0"/>
                        <w:numId w:val="15"/>
                      </w:numPr>
                      <w:rPr>
                        <w:rFonts w:ascii="Tahoma" w:hAnsi="Tahoma" w:cs="Tahoma"/>
                      </w:rPr>
                    </w:pPr>
                    <w:r>
                      <w:rPr>
                        <w:rFonts w:ascii="Tahoma" w:hAnsi="Tahoma" w:cs="Tahoma"/>
                      </w:rPr>
                      <w:t>High attention to detail</w:t>
                    </w:r>
                    <w:r w:rsidR="000A4906">
                      <w:rPr>
                        <w:rFonts w:ascii="Tahoma" w:hAnsi="Tahoma" w:cs="Tahoma"/>
                      </w:rPr>
                      <w:t>.</w:t>
                    </w:r>
                  </w:p>
                  <w:p w14:paraId="7C215401" w14:textId="5621ECF7" w:rsidR="000A4906" w:rsidRDefault="000A4906" w:rsidP="0073542E">
                    <w:pPr>
                      <w:pStyle w:val="ListBullet"/>
                      <w:numPr>
                        <w:ilvl w:val="0"/>
                        <w:numId w:val="15"/>
                      </w:numPr>
                      <w:rPr>
                        <w:rFonts w:ascii="Tahoma" w:hAnsi="Tahoma" w:cs="Tahoma"/>
                      </w:rPr>
                    </w:pPr>
                    <w:r>
                      <w:rPr>
                        <w:rFonts w:ascii="Tahoma" w:hAnsi="Tahoma" w:cs="Tahoma"/>
                      </w:rPr>
                      <w:t xml:space="preserve">Proficient in the use of </w:t>
                    </w:r>
                    <w:r w:rsidR="002D23E0">
                      <w:rPr>
                        <w:rFonts w:ascii="Tahoma" w:hAnsi="Tahoma" w:cs="Tahoma"/>
                      </w:rPr>
                      <w:t>Applicant Tracking Systems and Microsoft Office.</w:t>
                    </w:r>
                  </w:p>
                  <w:p w14:paraId="69AA2C0B" w14:textId="77777777" w:rsidR="005159EE" w:rsidRPr="005159EE" w:rsidRDefault="005159EE" w:rsidP="005159EE">
                    <w:pPr>
                      <w:pStyle w:val="ListParagraph"/>
                      <w:numPr>
                        <w:ilvl w:val="0"/>
                        <w:numId w:val="15"/>
                      </w:numPr>
                      <w:rPr>
                        <w:rFonts w:ascii="Tahoma" w:eastAsiaTheme="minorEastAsia" w:hAnsi="Tahoma" w:cs="Tahoma"/>
                        <w:lang w:eastAsia="ja-JP"/>
                      </w:rPr>
                    </w:pPr>
                    <w:r w:rsidRPr="005159EE">
                      <w:rPr>
                        <w:rFonts w:ascii="Tahoma" w:eastAsiaTheme="minorEastAsia" w:hAnsi="Tahoma" w:cs="Tahoma"/>
                        <w:lang w:eastAsia="ja-JP"/>
                      </w:rPr>
                      <w:t>Desire to learn and for continuous improvement.</w:t>
                    </w:r>
                  </w:p>
                  <w:p w14:paraId="0A24DB0C" w14:textId="23B7FCAD" w:rsidR="00AA08FE" w:rsidRDefault="00AA08FE" w:rsidP="0073542E">
                    <w:pPr>
                      <w:pStyle w:val="ListBullet"/>
                      <w:numPr>
                        <w:ilvl w:val="0"/>
                        <w:numId w:val="15"/>
                      </w:numPr>
                      <w:rPr>
                        <w:rFonts w:ascii="Tahoma" w:hAnsi="Tahoma" w:cs="Tahoma"/>
                      </w:rPr>
                    </w:pPr>
                    <w:r>
                      <w:rPr>
                        <w:rFonts w:ascii="Tahoma" w:hAnsi="Tahoma" w:cs="Tahoma"/>
                      </w:rPr>
                      <w:t xml:space="preserve">Highly customer focused. </w:t>
                    </w:r>
                  </w:p>
                  <w:p w14:paraId="5BF69BCC" w14:textId="77777777" w:rsidR="0073542E" w:rsidRDefault="0073542E" w:rsidP="0073542E">
                    <w:pPr>
                      <w:pStyle w:val="ListBullet"/>
                      <w:numPr>
                        <w:ilvl w:val="0"/>
                        <w:numId w:val="0"/>
                      </w:numPr>
                      <w:ind w:left="360" w:hanging="360"/>
                      <w:rPr>
                        <w:rFonts w:ascii="Tahoma" w:hAnsi="Tahoma" w:cs="Tahoma"/>
                      </w:rPr>
                    </w:pPr>
                  </w:p>
                  <w:p w14:paraId="1EC3CB83" w14:textId="77777777" w:rsidR="0073542E" w:rsidRPr="008D250C" w:rsidRDefault="0073542E" w:rsidP="0073542E">
                    <w:pPr>
                      <w:pStyle w:val="ListBullet"/>
                      <w:numPr>
                        <w:ilvl w:val="0"/>
                        <w:numId w:val="0"/>
                      </w:numPr>
                      <w:ind w:left="360" w:hanging="360"/>
                      <w:rPr>
                        <w:rFonts w:ascii="Tahoma" w:hAnsi="Tahoma" w:cs="Tahoma"/>
                        <w:b/>
                        <w:bCs/>
                      </w:rPr>
                    </w:pPr>
                    <w:r w:rsidRPr="008D250C">
                      <w:rPr>
                        <w:rFonts w:ascii="Tahoma" w:hAnsi="Tahoma" w:cs="Tahoma"/>
                        <w:b/>
                        <w:bCs/>
                      </w:rPr>
                      <w:t>Knowledge:</w:t>
                    </w:r>
                  </w:p>
                  <w:p w14:paraId="5863115E" w14:textId="77777777" w:rsidR="0073542E" w:rsidRDefault="0073542E" w:rsidP="0073542E">
                    <w:pPr>
                      <w:pStyle w:val="ListBullet"/>
                      <w:numPr>
                        <w:ilvl w:val="0"/>
                        <w:numId w:val="0"/>
                      </w:numPr>
                      <w:ind w:left="360" w:hanging="360"/>
                      <w:rPr>
                        <w:rFonts w:ascii="Tahoma" w:hAnsi="Tahoma" w:cs="Tahoma"/>
                      </w:rPr>
                    </w:pPr>
                    <w:r>
                      <w:rPr>
                        <w:rFonts w:ascii="Tahoma" w:hAnsi="Tahoma" w:cs="Tahoma"/>
                      </w:rPr>
                      <w:t>Essential:</w:t>
                    </w:r>
                  </w:p>
                  <w:p w14:paraId="6B9E2680" w14:textId="1B4BF9F6" w:rsidR="0073542E" w:rsidRPr="0036129E" w:rsidRDefault="007E6DEF" w:rsidP="0073542E">
                    <w:pPr>
                      <w:pStyle w:val="ListBullet"/>
                      <w:numPr>
                        <w:ilvl w:val="0"/>
                        <w:numId w:val="21"/>
                      </w:numPr>
                      <w:rPr>
                        <w:rFonts w:ascii="Tahoma" w:hAnsi="Tahoma" w:cs="Tahoma"/>
                      </w:rPr>
                    </w:pPr>
                    <w:r w:rsidRPr="0036129E">
                      <w:rPr>
                        <w:rFonts w:ascii="Tahoma" w:hAnsi="Tahoma" w:cs="Tahoma"/>
                      </w:rPr>
                      <w:t>Knowledge of safer recruitment practices</w:t>
                    </w:r>
                    <w:r w:rsidR="00E9137E" w:rsidRPr="0036129E">
                      <w:rPr>
                        <w:rFonts w:ascii="Tahoma" w:hAnsi="Tahoma" w:cs="Tahoma"/>
                      </w:rPr>
                      <w:t>.</w:t>
                    </w:r>
                  </w:p>
                  <w:p w14:paraId="271D9DB5" w14:textId="41A7E6BF" w:rsidR="00E9137E" w:rsidRPr="003722C9" w:rsidRDefault="00E9137E" w:rsidP="0073542E">
                    <w:pPr>
                      <w:pStyle w:val="ListBullet"/>
                      <w:numPr>
                        <w:ilvl w:val="0"/>
                        <w:numId w:val="21"/>
                      </w:numPr>
                      <w:rPr>
                        <w:rFonts w:ascii="Tahoma" w:hAnsi="Tahoma" w:cs="Tahoma"/>
                      </w:rPr>
                    </w:pPr>
                    <w:r w:rsidRPr="003722C9">
                      <w:rPr>
                        <w:rFonts w:ascii="Tahoma" w:hAnsi="Tahoma" w:cs="Tahoma"/>
                      </w:rPr>
                      <w:t>Right to work including visas and sponsorship/willing to work towards gaining this knowledge</w:t>
                    </w:r>
                  </w:p>
                  <w:p w14:paraId="5A4F1E2A" w14:textId="77777777" w:rsidR="0073542E" w:rsidRDefault="0073542E" w:rsidP="0073542E">
                    <w:pPr>
                      <w:pStyle w:val="ListBullet"/>
                      <w:numPr>
                        <w:ilvl w:val="0"/>
                        <w:numId w:val="0"/>
                      </w:numPr>
                      <w:ind w:left="360" w:hanging="360"/>
                      <w:rPr>
                        <w:rFonts w:ascii="Tahoma" w:hAnsi="Tahoma" w:cs="Tahoma"/>
                      </w:rPr>
                    </w:pPr>
                  </w:p>
                  <w:p w14:paraId="28450601" w14:textId="77777777" w:rsidR="0073542E" w:rsidRPr="008D250C" w:rsidRDefault="0073542E" w:rsidP="0073542E">
                    <w:pPr>
                      <w:pStyle w:val="ListBullet"/>
                      <w:numPr>
                        <w:ilvl w:val="0"/>
                        <w:numId w:val="0"/>
                      </w:numPr>
                      <w:ind w:left="360" w:hanging="360"/>
                      <w:rPr>
                        <w:rFonts w:ascii="Tahoma" w:hAnsi="Tahoma" w:cs="Tahoma"/>
                        <w:b/>
                        <w:bCs/>
                      </w:rPr>
                    </w:pPr>
                    <w:r w:rsidRPr="008D250C">
                      <w:rPr>
                        <w:rFonts w:ascii="Tahoma" w:hAnsi="Tahoma" w:cs="Tahoma"/>
                        <w:b/>
                        <w:bCs/>
                      </w:rPr>
                      <w:t>Experience:</w:t>
                    </w:r>
                  </w:p>
                  <w:p w14:paraId="7B04188B" w14:textId="77777777" w:rsidR="0073542E" w:rsidRDefault="0073542E" w:rsidP="0073542E">
                    <w:pPr>
                      <w:pStyle w:val="ListBullet"/>
                      <w:numPr>
                        <w:ilvl w:val="0"/>
                        <w:numId w:val="0"/>
                      </w:numPr>
                      <w:ind w:left="360" w:hanging="360"/>
                      <w:rPr>
                        <w:rFonts w:ascii="Tahoma" w:hAnsi="Tahoma" w:cs="Tahoma"/>
                      </w:rPr>
                    </w:pPr>
                    <w:r>
                      <w:rPr>
                        <w:rFonts w:ascii="Tahoma" w:hAnsi="Tahoma" w:cs="Tahoma"/>
                      </w:rPr>
                      <w:t>Essential:</w:t>
                    </w:r>
                  </w:p>
                  <w:p w14:paraId="0187AD61" w14:textId="4E3FB1FB" w:rsidR="0073542E" w:rsidRPr="008D250C" w:rsidRDefault="0073542E" w:rsidP="0073542E">
                    <w:pPr>
                      <w:pStyle w:val="ListBullet"/>
                      <w:numPr>
                        <w:ilvl w:val="0"/>
                        <w:numId w:val="20"/>
                      </w:numPr>
                      <w:rPr>
                        <w:rFonts w:ascii="Tahoma" w:hAnsi="Tahoma" w:cs="Tahoma"/>
                      </w:rPr>
                    </w:pPr>
                    <w:r>
                      <w:rPr>
                        <w:rFonts w:ascii="Tahoma" w:hAnsi="Tahoma" w:cs="Tahoma"/>
                      </w:rPr>
                      <w:t xml:space="preserve">Hands-on experience of </w:t>
                    </w:r>
                    <w:r w:rsidR="000A4906">
                      <w:rPr>
                        <w:rFonts w:ascii="Tahoma" w:hAnsi="Tahoma" w:cs="Tahoma"/>
                      </w:rPr>
                      <w:t>recruitment vetting/onboarding.</w:t>
                    </w:r>
                  </w:p>
                  <w:p w14:paraId="4D1317E3" w14:textId="77777777" w:rsidR="0073542E" w:rsidRDefault="0073542E" w:rsidP="0073542E">
                    <w:pPr>
                      <w:pStyle w:val="ListBullet"/>
                      <w:numPr>
                        <w:ilvl w:val="0"/>
                        <w:numId w:val="0"/>
                      </w:numPr>
                      <w:ind w:left="360" w:hanging="360"/>
                      <w:rPr>
                        <w:rFonts w:ascii="Tahoma" w:hAnsi="Tahoma" w:cs="Tahoma"/>
                      </w:rPr>
                    </w:pPr>
                    <w:r>
                      <w:rPr>
                        <w:rFonts w:ascii="Tahoma" w:hAnsi="Tahoma" w:cs="Tahoma"/>
                      </w:rPr>
                      <w:t>Desirable:</w:t>
                    </w:r>
                  </w:p>
                  <w:p w14:paraId="70883B66" w14:textId="77777777" w:rsidR="0073542E" w:rsidRDefault="0073542E" w:rsidP="0073542E">
                    <w:pPr>
                      <w:pStyle w:val="ListBullet"/>
                      <w:numPr>
                        <w:ilvl w:val="0"/>
                        <w:numId w:val="20"/>
                      </w:numPr>
                      <w:rPr>
                        <w:rFonts w:ascii="Tahoma" w:hAnsi="Tahoma" w:cs="Tahoma"/>
                      </w:rPr>
                    </w:pPr>
                    <w:r>
                      <w:rPr>
                        <w:rFonts w:ascii="Tahoma" w:hAnsi="Tahoma" w:cs="Tahoma"/>
                      </w:rPr>
                      <w:t>Has worked in the Care Sector in a similar role.</w:t>
                    </w:r>
                  </w:p>
                  <w:p w14:paraId="355BBEDA" w14:textId="77777777" w:rsidR="0073542E" w:rsidRDefault="0073542E" w:rsidP="0073542E">
                    <w:pPr>
                      <w:pStyle w:val="ListBullet"/>
                      <w:numPr>
                        <w:ilvl w:val="0"/>
                        <w:numId w:val="0"/>
                      </w:numPr>
                      <w:ind w:left="360" w:hanging="360"/>
                      <w:rPr>
                        <w:rFonts w:ascii="Tahoma" w:hAnsi="Tahoma" w:cs="Tahoma"/>
                      </w:rPr>
                    </w:pPr>
                  </w:p>
                  <w:p w14:paraId="73148FDA" w14:textId="017A466D" w:rsidR="00F04DD4" w:rsidRPr="00987203" w:rsidRDefault="003722C9" w:rsidP="00CD7C55">
                    <w:pPr>
                      <w:pStyle w:val="ListBullet"/>
                      <w:numPr>
                        <w:ilvl w:val="0"/>
                        <w:numId w:val="0"/>
                      </w:numPr>
                      <w:rPr>
                        <w:rFonts w:ascii="Tahoma" w:hAnsi="Tahoma" w:cs="Tahoma"/>
                      </w:rPr>
                    </w:pPr>
                  </w:p>
                </w:sdtContent>
              </w:sdt>
            </w:sdtContent>
          </w:sdt>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lastRenderedPageBreak/>
              <w:t>All colleagues are expected to operate in line with our Values and Behaviour Framework at all times. The framework outlines our core values and the behaviours that we consider to uphold each of our values, as well as universal attributes we consider to underpin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We put the people we support, families and colleagues at the centre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We recognise that quality comes from our commitment to best practice, improvement and learning;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We are passionate about improving lives and work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658B6CD0">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194E226D">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team as a whole, enabling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1E4006B5">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25613BCE">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our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1D5B15B8" w14:textId="75805FD0" w:rsidR="00062C87" w:rsidRPr="00987203" w:rsidRDefault="00D7221F" w:rsidP="00AC6117">
                <w:r>
                  <w:t>Emma Piper</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73307764" w:rsidR="00062C87" w:rsidRPr="00987203" w:rsidRDefault="003722C9" w:rsidP="00AC6117">
                <w:r>
                  <w:t>October 2025</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74C4BB11" w14:textId="213F6160" w:rsidR="00924406" w:rsidRDefault="00924406" w:rsidP="00BC0CD5">
      <w:pPr>
        <w:rPr>
          <w:sz w:val="20"/>
          <w:szCs w:val="20"/>
        </w:rPr>
      </w:pPr>
    </w:p>
    <w:p w14:paraId="178766AF" w14:textId="350C07B4" w:rsidR="00924406" w:rsidRDefault="00924406" w:rsidP="00BC0CD5">
      <w:pPr>
        <w:rPr>
          <w:sz w:val="20"/>
          <w:szCs w:val="20"/>
        </w:rPr>
      </w:pPr>
    </w:p>
    <w:p w14:paraId="29905B3C" w14:textId="5D445CD0" w:rsidR="00924406" w:rsidRDefault="00924406" w:rsidP="00BC0CD5">
      <w:pPr>
        <w:rPr>
          <w:sz w:val="20"/>
          <w:szCs w:val="20"/>
        </w:rPr>
      </w:pPr>
    </w:p>
    <w:p w14:paraId="22A9718E" w14:textId="6AE0B8CF" w:rsidR="00924406" w:rsidRDefault="00924406" w:rsidP="00BC0CD5">
      <w:pPr>
        <w:rPr>
          <w:sz w:val="20"/>
          <w:szCs w:val="20"/>
        </w:rPr>
      </w:pPr>
    </w:p>
    <w:p w14:paraId="4A1EC580" w14:textId="04EA4254" w:rsidR="00924406" w:rsidRDefault="00924406" w:rsidP="00BC0CD5">
      <w:pPr>
        <w:rPr>
          <w:sz w:val="20"/>
          <w:szCs w:val="20"/>
        </w:rPr>
      </w:pPr>
    </w:p>
    <w:p w14:paraId="29FF3C6D" w14:textId="31D71F5D" w:rsidR="00924406" w:rsidRDefault="00924406" w:rsidP="00BC0CD5">
      <w:pPr>
        <w:rPr>
          <w:sz w:val="20"/>
          <w:szCs w:val="20"/>
        </w:rPr>
      </w:pPr>
    </w:p>
    <w:p w14:paraId="12466EC0" w14:textId="77777777" w:rsidR="00161D02" w:rsidRDefault="00161D02" w:rsidP="00924406">
      <w:pPr>
        <w:jc w:val="center"/>
        <w:rPr>
          <w:sz w:val="20"/>
          <w:szCs w:val="20"/>
        </w:rPr>
      </w:pPr>
    </w:p>
    <w:sectPr w:rsidR="00161D02"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6A54" w14:textId="77777777" w:rsidR="005A66CE" w:rsidRDefault="005A66CE" w:rsidP="00D2437F">
      <w:r>
        <w:separator/>
      </w:r>
    </w:p>
  </w:endnote>
  <w:endnote w:type="continuationSeparator" w:id="0">
    <w:p w14:paraId="7FD846D1" w14:textId="77777777" w:rsidR="005A66CE" w:rsidRDefault="005A66CE"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EB7F" w14:textId="77777777" w:rsidR="005A66CE" w:rsidRDefault="005A66CE" w:rsidP="00D2437F">
      <w:r>
        <w:separator/>
      </w:r>
    </w:p>
  </w:footnote>
  <w:footnote w:type="continuationSeparator" w:id="0">
    <w:p w14:paraId="3449F53D" w14:textId="77777777" w:rsidR="005A66CE" w:rsidRDefault="005A66CE"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BB072D1"/>
    <w:multiLevelType w:val="hybridMultilevel"/>
    <w:tmpl w:val="10B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A097A"/>
    <w:multiLevelType w:val="hybridMultilevel"/>
    <w:tmpl w:val="327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03011"/>
    <w:multiLevelType w:val="hybridMultilevel"/>
    <w:tmpl w:val="7636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789615">
    <w:abstractNumId w:val="14"/>
  </w:num>
  <w:num w:numId="2" w16cid:durableId="1113015441">
    <w:abstractNumId w:val="20"/>
  </w:num>
  <w:num w:numId="3" w16cid:durableId="412704166">
    <w:abstractNumId w:val="16"/>
  </w:num>
  <w:num w:numId="4" w16cid:durableId="715665197">
    <w:abstractNumId w:val="8"/>
  </w:num>
  <w:num w:numId="5" w16cid:durableId="704600480">
    <w:abstractNumId w:val="6"/>
  </w:num>
  <w:num w:numId="6" w16cid:durableId="1766149669">
    <w:abstractNumId w:val="13"/>
  </w:num>
  <w:num w:numId="7" w16cid:durableId="1038238549">
    <w:abstractNumId w:val="17"/>
  </w:num>
  <w:num w:numId="8" w16cid:durableId="189530973">
    <w:abstractNumId w:val="10"/>
  </w:num>
  <w:num w:numId="9" w16cid:durableId="73204493">
    <w:abstractNumId w:val="1"/>
  </w:num>
  <w:num w:numId="10" w16cid:durableId="1071275985">
    <w:abstractNumId w:val="3"/>
  </w:num>
  <w:num w:numId="11" w16cid:durableId="1919241204">
    <w:abstractNumId w:val="12"/>
  </w:num>
  <w:num w:numId="12" w16cid:durableId="226651427">
    <w:abstractNumId w:val="4"/>
  </w:num>
  <w:num w:numId="13" w16cid:durableId="812218971">
    <w:abstractNumId w:val="0"/>
  </w:num>
  <w:num w:numId="14" w16cid:durableId="1307853998">
    <w:abstractNumId w:val="2"/>
  </w:num>
  <w:num w:numId="15" w16cid:durableId="566769601">
    <w:abstractNumId w:val="18"/>
  </w:num>
  <w:num w:numId="16" w16cid:durableId="1851672703">
    <w:abstractNumId w:val="5"/>
  </w:num>
  <w:num w:numId="17" w16cid:durableId="1765302175">
    <w:abstractNumId w:val="9"/>
  </w:num>
  <w:num w:numId="18" w16cid:durableId="1551459107">
    <w:abstractNumId w:val="15"/>
  </w:num>
  <w:num w:numId="19" w16cid:durableId="622156412">
    <w:abstractNumId w:val="7"/>
  </w:num>
  <w:num w:numId="20" w16cid:durableId="567964115">
    <w:abstractNumId w:val="19"/>
  </w:num>
  <w:num w:numId="21" w16cid:durableId="1117988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4778A"/>
    <w:rsid w:val="00062C87"/>
    <w:rsid w:val="00065969"/>
    <w:rsid w:val="00080D38"/>
    <w:rsid w:val="00095A73"/>
    <w:rsid w:val="000A2AC0"/>
    <w:rsid w:val="000A4906"/>
    <w:rsid w:val="000C26A8"/>
    <w:rsid w:val="000E73DB"/>
    <w:rsid w:val="00101742"/>
    <w:rsid w:val="001134FD"/>
    <w:rsid w:val="00127A3E"/>
    <w:rsid w:val="001520BB"/>
    <w:rsid w:val="00161D02"/>
    <w:rsid w:val="00166C52"/>
    <w:rsid w:val="001714DA"/>
    <w:rsid w:val="00172205"/>
    <w:rsid w:val="001827D9"/>
    <w:rsid w:val="00182D99"/>
    <w:rsid w:val="00186B9C"/>
    <w:rsid w:val="001931AF"/>
    <w:rsid w:val="001D5724"/>
    <w:rsid w:val="001E1B0C"/>
    <w:rsid w:val="00201DA8"/>
    <w:rsid w:val="0020598E"/>
    <w:rsid w:val="002711E2"/>
    <w:rsid w:val="002C14F1"/>
    <w:rsid w:val="002D23E0"/>
    <w:rsid w:val="002E017D"/>
    <w:rsid w:val="002F6C0C"/>
    <w:rsid w:val="00301788"/>
    <w:rsid w:val="00305CA4"/>
    <w:rsid w:val="0036129E"/>
    <w:rsid w:val="0036173C"/>
    <w:rsid w:val="00364553"/>
    <w:rsid w:val="003722C9"/>
    <w:rsid w:val="00386B78"/>
    <w:rsid w:val="00386D4F"/>
    <w:rsid w:val="00391BF2"/>
    <w:rsid w:val="003C1C75"/>
    <w:rsid w:val="003D7B58"/>
    <w:rsid w:val="003E4B3F"/>
    <w:rsid w:val="00414DF5"/>
    <w:rsid w:val="00423C0C"/>
    <w:rsid w:val="004500E3"/>
    <w:rsid w:val="00453AAE"/>
    <w:rsid w:val="00453DD9"/>
    <w:rsid w:val="00474423"/>
    <w:rsid w:val="0047578B"/>
    <w:rsid w:val="0048065A"/>
    <w:rsid w:val="00482535"/>
    <w:rsid w:val="00487F6B"/>
    <w:rsid w:val="00492D48"/>
    <w:rsid w:val="00494904"/>
    <w:rsid w:val="004A41D5"/>
    <w:rsid w:val="004E0C05"/>
    <w:rsid w:val="004F120B"/>
    <w:rsid w:val="00506768"/>
    <w:rsid w:val="005159EE"/>
    <w:rsid w:val="00517922"/>
    <w:rsid w:val="005221F4"/>
    <w:rsid w:val="005309CC"/>
    <w:rsid w:val="0053297C"/>
    <w:rsid w:val="0054025F"/>
    <w:rsid w:val="00554867"/>
    <w:rsid w:val="00572102"/>
    <w:rsid w:val="00586D93"/>
    <w:rsid w:val="00590AF5"/>
    <w:rsid w:val="005A2937"/>
    <w:rsid w:val="005A66CE"/>
    <w:rsid w:val="005B6096"/>
    <w:rsid w:val="005B7673"/>
    <w:rsid w:val="005B7F4B"/>
    <w:rsid w:val="005C0DDE"/>
    <w:rsid w:val="005F76F1"/>
    <w:rsid w:val="006140C3"/>
    <w:rsid w:val="0062322C"/>
    <w:rsid w:val="006252FC"/>
    <w:rsid w:val="00635795"/>
    <w:rsid w:val="00650314"/>
    <w:rsid w:val="006561B1"/>
    <w:rsid w:val="00657E8A"/>
    <w:rsid w:val="0066084B"/>
    <w:rsid w:val="00674770"/>
    <w:rsid w:val="00677C6C"/>
    <w:rsid w:val="006B3EFA"/>
    <w:rsid w:val="006C0341"/>
    <w:rsid w:val="006C34E2"/>
    <w:rsid w:val="006D0E2F"/>
    <w:rsid w:val="006E7E67"/>
    <w:rsid w:val="006F71F9"/>
    <w:rsid w:val="00707DE4"/>
    <w:rsid w:val="00716241"/>
    <w:rsid w:val="0073542E"/>
    <w:rsid w:val="00740AEF"/>
    <w:rsid w:val="0074653C"/>
    <w:rsid w:val="00755331"/>
    <w:rsid w:val="00763B4A"/>
    <w:rsid w:val="00777914"/>
    <w:rsid w:val="00790665"/>
    <w:rsid w:val="007916DF"/>
    <w:rsid w:val="00792B8B"/>
    <w:rsid w:val="007A0FF0"/>
    <w:rsid w:val="007A1A78"/>
    <w:rsid w:val="007C0367"/>
    <w:rsid w:val="007C12E9"/>
    <w:rsid w:val="007C6714"/>
    <w:rsid w:val="007E2F2D"/>
    <w:rsid w:val="007E6DEF"/>
    <w:rsid w:val="00805E08"/>
    <w:rsid w:val="00816F97"/>
    <w:rsid w:val="0082532C"/>
    <w:rsid w:val="008359B2"/>
    <w:rsid w:val="008521AB"/>
    <w:rsid w:val="008560AC"/>
    <w:rsid w:val="00856DFA"/>
    <w:rsid w:val="00865B95"/>
    <w:rsid w:val="00867D72"/>
    <w:rsid w:val="00877596"/>
    <w:rsid w:val="00884EB3"/>
    <w:rsid w:val="008B4263"/>
    <w:rsid w:val="008C1CC3"/>
    <w:rsid w:val="008C5AFC"/>
    <w:rsid w:val="008C5DE2"/>
    <w:rsid w:val="008D00C0"/>
    <w:rsid w:val="008D1AB5"/>
    <w:rsid w:val="008D1F3E"/>
    <w:rsid w:val="008F3D6A"/>
    <w:rsid w:val="00900821"/>
    <w:rsid w:val="009039D9"/>
    <w:rsid w:val="00924406"/>
    <w:rsid w:val="0093164F"/>
    <w:rsid w:val="0093565C"/>
    <w:rsid w:val="00945471"/>
    <w:rsid w:val="00951B95"/>
    <w:rsid w:val="00966EE3"/>
    <w:rsid w:val="00970274"/>
    <w:rsid w:val="00975C60"/>
    <w:rsid w:val="00983DEA"/>
    <w:rsid w:val="00987203"/>
    <w:rsid w:val="009B6759"/>
    <w:rsid w:val="009E0AB2"/>
    <w:rsid w:val="009E2251"/>
    <w:rsid w:val="009E62F5"/>
    <w:rsid w:val="00A267C7"/>
    <w:rsid w:val="00A36859"/>
    <w:rsid w:val="00A42310"/>
    <w:rsid w:val="00A5201B"/>
    <w:rsid w:val="00A629E4"/>
    <w:rsid w:val="00A8782E"/>
    <w:rsid w:val="00A9170E"/>
    <w:rsid w:val="00A95892"/>
    <w:rsid w:val="00AA08B5"/>
    <w:rsid w:val="00AA08FE"/>
    <w:rsid w:val="00AB5F0B"/>
    <w:rsid w:val="00AB6F84"/>
    <w:rsid w:val="00AC5CFB"/>
    <w:rsid w:val="00AF1AFA"/>
    <w:rsid w:val="00AF430D"/>
    <w:rsid w:val="00AF78F2"/>
    <w:rsid w:val="00B13C5C"/>
    <w:rsid w:val="00B256E4"/>
    <w:rsid w:val="00B3314A"/>
    <w:rsid w:val="00B40392"/>
    <w:rsid w:val="00B62DDE"/>
    <w:rsid w:val="00BA19A2"/>
    <w:rsid w:val="00BB018C"/>
    <w:rsid w:val="00BB2448"/>
    <w:rsid w:val="00BB7A3A"/>
    <w:rsid w:val="00BC0CD5"/>
    <w:rsid w:val="00BC41F1"/>
    <w:rsid w:val="00BF584A"/>
    <w:rsid w:val="00C00302"/>
    <w:rsid w:val="00C009C2"/>
    <w:rsid w:val="00C10638"/>
    <w:rsid w:val="00C47538"/>
    <w:rsid w:val="00C52B05"/>
    <w:rsid w:val="00C6002E"/>
    <w:rsid w:val="00C755D1"/>
    <w:rsid w:val="00CA7D41"/>
    <w:rsid w:val="00CC28D8"/>
    <w:rsid w:val="00CD7C55"/>
    <w:rsid w:val="00CE51DA"/>
    <w:rsid w:val="00CE618D"/>
    <w:rsid w:val="00CF52D1"/>
    <w:rsid w:val="00D20542"/>
    <w:rsid w:val="00D2437F"/>
    <w:rsid w:val="00D440FC"/>
    <w:rsid w:val="00D7221F"/>
    <w:rsid w:val="00D745AC"/>
    <w:rsid w:val="00D95DFD"/>
    <w:rsid w:val="00DD3A81"/>
    <w:rsid w:val="00DE042F"/>
    <w:rsid w:val="00DF19E3"/>
    <w:rsid w:val="00DF38C3"/>
    <w:rsid w:val="00E066D8"/>
    <w:rsid w:val="00E11082"/>
    <w:rsid w:val="00E12FFB"/>
    <w:rsid w:val="00E22097"/>
    <w:rsid w:val="00E33E21"/>
    <w:rsid w:val="00E36076"/>
    <w:rsid w:val="00E45A32"/>
    <w:rsid w:val="00E464B7"/>
    <w:rsid w:val="00E475CB"/>
    <w:rsid w:val="00E67C4C"/>
    <w:rsid w:val="00E73E1E"/>
    <w:rsid w:val="00E9137E"/>
    <w:rsid w:val="00EA23C6"/>
    <w:rsid w:val="00EB1885"/>
    <w:rsid w:val="00EB4341"/>
    <w:rsid w:val="00EE0734"/>
    <w:rsid w:val="00EF1AE6"/>
    <w:rsid w:val="00EF7B99"/>
    <w:rsid w:val="00F04DD4"/>
    <w:rsid w:val="00F16304"/>
    <w:rsid w:val="00F1731E"/>
    <w:rsid w:val="00F2356D"/>
    <w:rsid w:val="00F63460"/>
    <w:rsid w:val="00F66ADE"/>
    <w:rsid w:val="00F7723C"/>
    <w:rsid w:val="00F85515"/>
    <w:rsid w:val="00F9163E"/>
    <w:rsid w:val="00FA0726"/>
    <w:rsid w:val="00FC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
      <w:docPartPr>
        <w:name w:val="88DD1DBE5E9E4DD1B93CBD424E98A01C"/>
        <w:category>
          <w:name w:val="General"/>
          <w:gallery w:val="placeholder"/>
        </w:category>
        <w:types>
          <w:type w:val="bbPlcHdr"/>
        </w:types>
        <w:behaviors>
          <w:behavior w:val="content"/>
        </w:behaviors>
        <w:guid w:val="{C9A4CFEA-A511-482E-B099-6A084CAEC53D}"/>
      </w:docPartPr>
      <w:docPartBody>
        <w:p w:rsidR="003830B4" w:rsidRDefault="003A22B9" w:rsidP="003A22B9">
          <w:pPr>
            <w:pStyle w:val="88DD1DBE5E9E4DD1B93CBD424E98A01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0C0131"/>
    <w:rsid w:val="000D6EE8"/>
    <w:rsid w:val="00182D99"/>
    <w:rsid w:val="00185992"/>
    <w:rsid w:val="002F51BD"/>
    <w:rsid w:val="003830B4"/>
    <w:rsid w:val="00386B78"/>
    <w:rsid w:val="003A22B9"/>
    <w:rsid w:val="004659B9"/>
    <w:rsid w:val="005F76F1"/>
    <w:rsid w:val="00805E08"/>
    <w:rsid w:val="008359B2"/>
    <w:rsid w:val="00872C17"/>
    <w:rsid w:val="008C5AFC"/>
    <w:rsid w:val="008D1AB5"/>
    <w:rsid w:val="00AB5F0B"/>
    <w:rsid w:val="00BE38DE"/>
    <w:rsid w:val="00C00302"/>
    <w:rsid w:val="00CC28D8"/>
    <w:rsid w:val="00CF35F3"/>
    <w:rsid w:val="00E12FFB"/>
    <w:rsid w:val="00F63460"/>
    <w:rsid w:val="00FF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3A22B9"/>
    <w:rPr>
      <w:color w:val="808080"/>
    </w:rPr>
  </w:style>
  <w:style w:type="paragraph" w:customStyle="1" w:styleId="56E2429C18AA4E6B8ACAE146750E3F88">
    <w:name w:val="56E2429C18AA4E6B8ACAE146750E3F88"/>
    <w:rsid w:val="004659B9"/>
  </w:style>
  <w:style w:type="paragraph" w:customStyle="1" w:styleId="88DD1DBE5E9E4DD1B93CBD424E98A01C">
    <w:name w:val="88DD1DBE5E9E4DD1B93CBD424E98A01C"/>
    <w:rsid w:val="003A22B9"/>
    <w:pPr>
      <w:spacing w:line="278" w:lineRule="auto"/>
    </w:pPr>
    <w:rPr>
      <w:kern w:val="2"/>
      <w:sz w:val="24"/>
      <w:szCs w:val="24"/>
      <w14:ligatures w14:val="standardContextual"/>
    </w:rPr>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5106</Characters>
  <Application>Microsoft Office Word</Application>
  <DocSecurity>0</DocSecurity>
  <Lines>158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Emma Piper</cp:lastModifiedBy>
  <cp:revision>3</cp:revision>
  <dcterms:created xsi:type="dcterms:W3CDTF">2025-10-30T16:45:00Z</dcterms:created>
  <dcterms:modified xsi:type="dcterms:W3CDTF">2025-10-31T15:30:00Z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