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CE4598"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679240B9" w:rsidR="00062C87" w:rsidRPr="00987203" w:rsidRDefault="00CE4598" w:rsidP="00AC6117">
                <w:pPr>
                  <w:rPr>
                    <w:sz w:val="20"/>
                    <w:szCs w:val="20"/>
                  </w:rPr>
                </w:pPr>
                <w:r>
                  <w:rPr>
                    <w:sz w:val="20"/>
                    <w:szCs w:val="20"/>
                  </w:rPr>
                  <w:t>Assistant Community Support Manager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6D49E354" w:rsidR="00062C87" w:rsidRPr="00987203" w:rsidRDefault="00CE4598" w:rsidP="00AC6117">
                <w:pPr>
                  <w:rPr>
                    <w:sz w:val="20"/>
                    <w:szCs w:val="20"/>
                  </w:rPr>
                </w:pPr>
                <w:r>
                  <w:rPr>
                    <w:sz w:val="20"/>
                    <w:szCs w:val="20"/>
                  </w:rPr>
                  <w:t>Supported Living</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57D72F4F" w:rsidR="00062C87" w:rsidRPr="00987203" w:rsidRDefault="00CE4598" w:rsidP="00AC6117">
            <w:pPr>
              <w:rPr>
                <w:sz w:val="20"/>
                <w:szCs w:val="20"/>
              </w:rPr>
            </w:pPr>
            <w:sdt>
              <w:sdtPr>
                <w:rPr>
                  <w:sz w:val="20"/>
                  <w:szCs w:val="20"/>
                </w:rPr>
                <w:id w:val="2146538087"/>
                <w:placeholder>
                  <w:docPart w:val="56E2429C18AA4E6B8ACAE146750E3F88"/>
                </w:placeholder>
              </w:sdtPr>
              <w:sdtEndPr/>
              <w:sdtContent>
                <w:r>
                  <w:rPr>
                    <w:sz w:val="20"/>
                    <w:szCs w:val="20"/>
                  </w:rPr>
                  <w:t>Care</w:t>
                </w:r>
              </w:sdtContent>
            </w:sdt>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5AFF19D2" w:rsidR="00062C87" w:rsidRPr="00987203" w:rsidRDefault="00CE4598" w:rsidP="00AC6117">
                <w:pPr>
                  <w:rPr>
                    <w:sz w:val="20"/>
                    <w:szCs w:val="20"/>
                  </w:rPr>
                </w:pPr>
                <w:r>
                  <w:rPr>
                    <w:sz w:val="20"/>
                    <w:szCs w:val="20"/>
                  </w:rPr>
                  <w:t xml:space="preserve">Sammy Skillbeck </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1B015004" w:rsidR="00062C87" w:rsidRPr="00987203" w:rsidRDefault="00CE4598" w:rsidP="00AC6117">
            <w:pPr>
              <w:rPr>
                <w:sz w:val="20"/>
                <w:szCs w:val="20"/>
              </w:rPr>
            </w:pPr>
            <w:sdt>
              <w:sdtPr>
                <w:rPr>
                  <w:sz w:val="20"/>
                  <w:szCs w:val="20"/>
                </w:rPr>
                <w:id w:val="-256598056"/>
                <w:placeholder>
                  <w:docPart w:val="83218CBCB52743F18D965A3D10F26686"/>
                </w:placeholder>
              </w:sdtPr>
              <w:sdtEndPr/>
              <w:sdtContent>
                <w:r>
                  <w:rPr>
                    <w:sz w:val="20"/>
                    <w:szCs w:val="20"/>
                  </w:rPr>
                  <w:t>Support Workers</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6A21A4C7" w:rsidR="00062C87" w:rsidRPr="00987203" w:rsidRDefault="00CE4598" w:rsidP="00AC6117">
            <w:pPr>
              <w:rPr>
                <w:sz w:val="20"/>
                <w:szCs w:val="20"/>
              </w:rPr>
            </w:pPr>
            <w:sdt>
              <w:sdtPr>
                <w:rPr>
                  <w:sz w:val="20"/>
                  <w:szCs w:val="20"/>
                </w:rPr>
                <w:id w:val="419526380"/>
                <w:placeholder>
                  <w:docPart w:val="43A23DC7824F419282AE20EAEA0CFFCA"/>
                </w:placeholder>
              </w:sdtPr>
              <w:sdtEndPr/>
              <w:sdtContent>
                <w:r>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5A596C46" w:rsidR="00062C87" w:rsidRPr="00987203" w:rsidRDefault="00CE4598" w:rsidP="00AC6117">
            <w:pPr>
              <w:rPr>
                <w:sz w:val="20"/>
                <w:szCs w:val="20"/>
              </w:rPr>
            </w:pPr>
            <w:sdt>
              <w:sdtPr>
                <w:rPr>
                  <w:sz w:val="20"/>
                  <w:szCs w:val="20"/>
                </w:rPr>
                <w:id w:val="2022902622"/>
                <w:placeholder>
                  <w:docPart w:val="3986D9781E414F40977502EB0295A73B"/>
                </w:placeholder>
              </w:sdtPr>
              <w:sdtEndPr/>
              <w:sdtContent>
                <w:r>
                  <w:rPr>
                    <w:sz w:val="20"/>
                    <w:szCs w:val="20"/>
                  </w:rPr>
                  <w:t>Enhanced DBS</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200465A3" w:rsidR="00062C87" w:rsidRPr="00987203" w:rsidRDefault="00CE4598" w:rsidP="00AC6117">
            <w:pPr>
              <w:rPr>
                <w:sz w:val="20"/>
                <w:szCs w:val="20"/>
              </w:rPr>
            </w:pPr>
            <w:sdt>
              <w:sdtPr>
                <w:rPr>
                  <w:sz w:val="20"/>
                  <w:szCs w:val="20"/>
                </w:rPr>
                <w:id w:val="-1425333420"/>
                <w:placeholder>
                  <w:docPart w:val="7E7D80B2525340B7BFB0C4E3DE081C30"/>
                </w:placeholder>
              </w:sdtPr>
              <w:sdtEndPr/>
              <w:sdtContent>
                <w:r>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77777777" w:rsidR="00062C87" w:rsidRPr="00987203" w:rsidRDefault="00CE4598" w:rsidP="00AC6117">
            <w:pPr>
              <w:rPr>
                <w:sz w:val="20"/>
                <w:szCs w:val="20"/>
              </w:rPr>
            </w:pPr>
            <w:sdt>
              <w:sdtPr>
                <w:rPr>
                  <w:sz w:val="20"/>
                  <w:szCs w:val="20"/>
                </w:rPr>
                <w:id w:val="-1416549673"/>
                <w:placeholder>
                  <w:docPart w:val="AF8E37AFBE89411B9A84D055075235E9"/>
                </w:placeholder>
              </w:sdtPr>
              <w:sdtEndPr/>
              <w:sdtContent>
                <w:r w:rsidR="00062C87" w:rsidRPr="00987203">
                  <w:rPr>
                    <w:rStyle w:val="PlaceholderText"/>
                    <w:sz w:val="20"/>
                    <w:szCs w:val="20"/>
                  </w:rPr>
                  <w:t>Click or tap here to enter text.</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3FF82EBF" w14:textId="77777777" w:rsidR="00062C87" w:rsidRDefault="00062C87" w:rsidP="00AC6117">
                <w:pPr>
                  <w:rPr>
                    <w:sz w:val="20"/>
                    <w:szCs w:val="20"/>
                  </w:rPr>
                </w:pPr>
                <w:r w:rsidRPr="00987203">
                  <w:rPr>
                    <w:sz w:val="20"/>
                    <w:szCs w:val="20"/>
                  </w:rPr>
                  <w:t>A brief overview of the main purpose of the role.</w:t>
                </w:r>
              </w:p>
              <w:p w14:paraId="3DB47E71" w14:textId="77777777" w:rsidR="008450FD" w:rsidRDefault="008450FD" w:rsidP="00AC6117">
                <w:pPr>
                  <w:rPr>
                    <w:sz w:val="20"/>
                    <w:szCs w:val="20"/>
                  </w:rPr>
                </w:pPr>
              </w:p>
              <w:p w14:paraId="6B8FD9B9" w14:textId="5C235022" w:rsidR="00C37B33" w:rsidRPr="00C37B33" w:rsidRDefault="008450FD" w:rsidP="00C37B33">
                <w:pPr>
                  <w:rPr>
                    <w:sz w:val="20"/>
                    <w:szCs w:val="20"/>
                  </w:rPr>
                </w:pPr>
                <w:r>
                  <w:rPr>
                    <w:sz w:val="20"/>
                    <w:szCs w:val="20"/>
                  </w:rPr>
                  <w:t xml:space="preserve">The main purpose of the role is to support a dedicated team of support workers to deliver an outstanding level of support to each person supported within the group. You will also be responsible both formally and informally </w:t>
                </w:r>
                <w:proofErr w:type="gramStart"/>
                <w:r w:rsidR="00C37B33">
                  <w:rPr>
                    <w:sz w:val="20"/>
                    <w:szCs w:val="20"/>
                  </w:rPr>
                  <w:t>supervise</w:t>
                </w:r>
                <w:proofErr w:type="gramEnd"/>
                <w:r w:rsidR="00C37B33">
                  <w:rPr>
                    <w:sz w:val="20"/>
                    <w:szCs w:val="20"/>
                  </w:rPr>
                  <w:t xml:space="preserve"> each support worker through supervision and appraisals and mentoring through role modelling</w:t>
                </w:r>
                <w:proofErr w:type="gramStart"/>
                <w:r w:rsidR="00C37B33">
                  <w:rPr>
                    <w:sz w:val="20"/>
                    <w:szCs w:val="20"/>
                  </w:rPr>
                  <w:t>, off</w:t>
                </w:r>
                <w:proofErr w:type="gramEnd"/>
                <w:r w:rsidR="00C37B33">
                  <w:rPr>
                    <w:sz w:val="20"/>
                    <w:szCs w:val="20"/>
                  </w:rPr>
                  <w:t xml:space="preserve"> the job training. </w:t>
                </w:r>
                <w:r w:rsidR="00C37B33" w:rsidRPr="00C37B33">
                  <w:rPr>
                    <w:sz w:val="20"/>
                    <w:szCs w:val="20"/>
                  </w:rPr>
                  <w:t>You are also responsible for the ordering and booking of medication and the safe administration of medication.</w:t>
                </w:r>
              </w:p>
              <w:p w14:paraId="44F89D3C" w14:textId="08A0722A" w:rsidR="008450FD" w:rsidRDefault="008450FD" w:rsidP="00AC6117">
                <w:pPr>
                  <w:rPr>
                    <w:sz w:val="20"/>
                    <w:szCs w:val="20"/>
                  </w:rPr>
                </w:pPr>
              </w:p>
              <w:p w14:paraId="1648342F" w14:textId="77777777" w:rsidR="008450FD" w:rsidRDefault="008450FD" w:rsidP="00AC6117">
                <w:pPr>
                  <w:rPr>
                    <w:sz w:val="20"/>
                    <w:szCs w:val="20"/>
                  </w:rPr>
                </w:pPr>
              </w:p>
              <w:p w14:paraId="7ACD136A" w14:textId="799BE65C" w:rsidR="008450FD" w:rsidRDefault="008450FD" w:rsidP="00AC6117">
                <w:pPr>
                  <w:rPr>
                    <w:sz w:val="20"/>
                    <w:szCs w:val="20"/>
                  </w:rPr>
                </w:pPr>
                <w:r>
                  <w:rPr>
                    <w:sz w:val="20"/>
                    <w:szCs w:val="20"/>
                  </w:rPr>
                  <w:t xml:space="preserve">Along with this role you will be supporting the Community Support Manager and Registered Manager to plan and complete all Care Plans, complete </w:t>
                </w:r>
                <w:r w:rsidR="00C37B33">
                  <w:rPr>
                    <w:sz w:val="20"/>
                    <w:szCs w:val="20"/>
                  </w:rPr>
                  <w:t>MCA as and when are needed. Assist with the transition of new people into the service, with the assessment process through to the full transition.</w:t>
                </w:r>
              </w:p>
              <w:p w14:paraId="6768B125" w14:textId="77777777" w:rsidR="00141E91" w:rsidRDefault="00141E91" w:rsidP="00AC6117">
                <w:pPr>
                  <w:rPr>
                    <w:sz w:val="20"/>
                    <w:szCs w:val="20"/>
                  </w:rPr>
                </w:pPr>
              </w:p>
              <w:p w14:paraId="3B41B0AD" w14:textId="3CB83FEF" w:rsidR="00141E91" w:rsidRDefault="00141E91" w:rsidP="00AC6117">
                <w:pPr>
                  <w:rPr>
                    <w:sz w:val="20"/>
                    <w:szCs w:val="20"/>
                  </w:rPr>
                </w:pPr>
                <w:r>
                  <w:rPr>
                    <w:sz w:val="20"/>
                    <w:szCs w:val="20"/>
                  </w:rPr>
                  <w:t>Chair regular team meeting and training as necessary for the support staff, ensuring all training is up to date.</w:t>
                </w:r>
              </w:p>
              <w:p w14:paraId="71B6F460" w14:textId="77777777" w:rsidR="008450FD" w:rsidRPr="00987203" w:rsidRDefault="00CE4598" w:rsidP="00AC6117">
                <w:pPr>
                  <w:rPr>
                    <w:sz w:val="20"/>
                    <w:szCs w:val="20"/>
                  </w:rPr>
                </w:pPr>
              </w:p>
            </w:sdtContent>
          </w:sdt>
          <w:p w14:paraId="2F2618E6" w14:textId="77777777" w:rsidR="00062C87" w:rsidRPr="00987203" w:rsidRDefault="00062C87" w:rsidP="00AC6117">
            <w:pPr>
              <w:pStyle w:val="Heading1"/>
              <w:rPr>
                <w:rFonts w:ascii="Tahoma" w:hAnsi="Tahoma" w:cs="Tahoma"/>
                <w:sz w:val="20"/>
                <w:szCs w:val="20"/>
              </w:rPr>
            </w:pPr>
          </w:p>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id w:val="1360017696"/>
              <w:placeholder>
                <w:docPart w:val="A10F9F7972C946908F739D03F9414D3C"/>
              </w:placeholder>
            </w:sdtPr>
            <w:sdtEndPr/>
            <w:sdtContent>
              <w:p w14:paraId="47E716E2" w14:textId="79FE5D74" w:rsidR="00062C87" w:rsidRPr="0057705E" w:rsidRDefault="0057705E" w:rsidP="00062C87">
                <w:pPr>
                  <w:pStyle w:val="ListParagraph"/>
                  <w:numPr>
                    <w:ilvl w:val="0"/>
                    <w:numId w:val="15"/>
                  </w:numPr>
                  <w:autoSpaceDE/>
                  <w:autoSpaceDN/>
                  <w:spacing w:before="30" w:after="30"/>
                  <w:contextualSpacing/>
                  <w:rPr>
                    <w:rFonts w:ascii="Tahoma" w:hAnsi="Tahoma" w:cs="Tahoma"/>
                  </w:rPr>
                </w:pPr>
                <w:r>
                  <w:t>Supporting Community Support Manager and Registered Manager</w:t>
                </w:r>
              </w:p>
              <w:p w14:paraId="6D7017DA" w14:textId="1DF1A33F" w:rsidR="0057705E" w:rsidRPr="003D6466" w:rsidRDefault="0057705E" w:rsidP="00062C87">
                <w:pPr>
                  <w:pStyle w:val="ListParagraph"/>
                  <w:numPr>
                    <w:ilvl w:val="0"/>
                    <w:numId w:val="15"/>
                  </w:numPr>
                  <w:autoSpaceDE/>
                  <w:autoSpaceDN/>
                  <w:spacing w:before="30" w:after="30"/>
                  <w:contextualSpacing/>
                  <w:rPr>
                    <w:rFonts w:ascii="Tahoma" w:hAnsi="Tahoma" w:cs="Tahoma"/>
                  </w:rPr>
                </w:pPr>
                <w:r>
                  <w:t xml:space="preserve">Supporting </w:t>
                </w:r>
                <w:r w:rsidR="00FA4FE2">
                  <w:t>a team of support staff</w:t>
                </w:r>
              </w:p>
              <w:p w14:paraId="4485ACBF" w14:textId="2C20694B" w:rsidR="003D6466" w:rsidRPr="00FA4FE2" w:rsidRDefault="003D6466" w:rsidP="00062C87">
                <w:pPr>
                  <w:pStyle w:val="ListParagraph"/>
                  <w:numPr>
                    <w:ilvl w:val="0"/>
                    <w:numId w:val="15"/>
                  </w:numPr>
                  <w:autoSpaceDE/>
                  <w:autoSpaceDN/>
                  <w:spacing w:before="30" w:after="30"/>
                  <w:contextualSpacing/>
                  <w:rPr>
                    <w:rFonts w:ascii="Tahoma" w:hAnsi="Tahoma" w:cs="Tahoma"/>
                  </w:rPr>
                </w:pPr>
                <w:r>
                  <w:t xml:space="preserve">Supporting the </w:t>
                </w:r>
                <w:r w:rsidR="001152CC">
                  <w:t xml:space="preserve">people we support to enrich their lives </w:t>
                </w:r>
              </w:p>
              <w:p w14:paraId="443F85E9" w14:textId="4B73F717" w:rsidR="00FA4FE2" w:rsidRPr="00C96028" w:rsidRDefault="00C96028" w:rsidP="00062C87">
                <w:pPr>
                  <w:pStyle w:val="ListParagraph"/>
                  <w:numPr>
                    <w:ilvl w:val="0"/>
                    <w:numId w:val="15"/>
                  </w:numPr>
                  <w:autoSpaceDE/>
                  <w:autoSpaceDN/>
                  <w:spacing w:before="30" w:after="30"/>
                  <w:contextualSpacing/>
                  <w:rPr>
                    <w:rFonts w:ascii="Tahoma" w:hAnsi="Tahoma" w:cs="Tahoma"/>
                  </w:rPr>
                </w:pPr>
                <w:r>
                  <w:t>Safe administration of medication</w:t>
                </w:r>
              </w:p>
              <w:p w14:paraId="7FB59A93" w14:textId="38D4AFC3" w:rsidR="00C96028" w:rsidRPr="00C96028" w:rsidRDefault="00C96028" w:rsidP="00062C87">
                <w:pPr>
                  <w:pStyle w:val="ListParagraph"/>
                  <w:numPr>
                    <w:ilvl w:val="0"/>
                    <w:numId w:val="15"/>
                  </w:numPr>
                  <w:autoSpaceDE/>
                  <w:autoSpaceDN/>
                  <w:spacing w:before="30" w:after="30"/>
                  <w:contextualSpacing/>
                  <w:rPr>
                    <w:rFonts w:ascii="Tahoma" w:hAnsi="Tahoma" w:cs="Tahoma"/>
                  </w:rPr>
                </w:pPr>
                <w:r>
                  <w:t>Ordering of Medication</w:t>
                </w:r>
              </w:p>
              <w:p w14:paraId="6B380DCE" w14:textId="7E754065" w:rsidR="00C96028" w:rsidRPr="003C4208" w:rsidRDefault="00104114" w:rsidP="00062C87">
                <w:pPr>
                  <w:pStyle w:val="ListParagraph"/>
                  <w:numPr>
                    <w:ilvl w:val="0"/>
                    <w:numId w:val="15"/>
                  </w:numPr>
                  <w:autoSpaceDE/>
                  <w:autoSpaceDN/>
                  <w:spacing w:before="30" w:after="30"/>
                  <w:contextualSpacing/>
                  <w:rPr>
                    <w:rFonts w:ascii="Tahoma" w:hAnsi="Tahoma" w:cs="Tahoma"/>
                  </w:rPr>
                </w:pPr>
                <w:r>
                  <w:t>Attending meeting</w:t>
                </w:r>
                <w:r w:rsidR="003C4208">
                  <w:t xml:space="preserve">s and clinics for the people we support </w:t>
                </w:r>
              </w:p>
              <w:p w14:paraId="3C97735E" w14:textId="6759FFEE" w:rsidR="003C4208" w:rsidRPr="0064154B" w:rsidRDefault="003C4208" w:rsidP="00062C87">
                <w:pPr>
                  <w:pStyle w:val="ListParagraph"/>
                  <w:numPr>
                    <w:ilvl w:val="0"/>
                    <w:numId w:val="15"/>
                  </w:numPr>
                  <w:autoSpaceDE/>
                  <w:autoSpaceDN/>
                  <w:spacing w:before="30" w:after="30"/>
                  <w:contextualSpacing/>
                  <w:rPr>
                    <w:rFonts w:ascii="Tahoma" w:hAnsi="Tahoma" w:cs="Tahoma"/>
                  </w:rPr>
                </w:pPr>
                <w:r>
                  <w:t xml:space="preserve">Probations, Supervisions and </w:t>
                </w:r>
                <w:proofErr w:type="spellStart"/>
                <w:r>
                  <w:t>Appraisels</w:t>
                </w:r>
                <w:proofErr w:type="spellEnd"/>
                <w:r>
                  <w:t xml:space="preserve"> for support team</w:t>
                </w:r>
              </w:p>
              <w:p w14:paraId="0F87916D" w14:textId="610B32CC" w:rsidR="0064154B" w:rsidRPr="0064154B" w:rsidRDefault="0064154B" w:rsidP="00062C87">
                <w:pPr>
                  <w:pStyle w:val="ListParagraph"/>
                  <w:numPr>
                    <w:ilvl w:val="0"/>
                    <w:numId w:val="15"/>
                  </w:numPr>
                  <w:autoSpaceDE/>
                  <w:autoSpaceDN/>
                  <w:spacing w:before="30" w:after="30"/>
                  <w:contextualSpacing/>
                  <w:rPr>
                    <w:rFonts w:ascii="Tahoma" w:hAnsi="Tahoma" w:cs="Tahoma"/>
                  </w:rPr>
                </w:pPr>
                <w:r>
                  <w:t>Chairing team meetings</w:t>
                </w:r>
              </w:p>
              <w:p w14:paraId="32A0F984" w14:textId="62565CE2" w:rsidR="0064154B" w:rsidRPr="0064154B" w:rsidRDefault="0064154B" w:rsidP="00062C87">
                <w:pPr>
                  <w:pStyle w:val="ListParagraph"/>
                  <w:numPr>
                    <w:ilvl w:val="0"/>
                    <w:numId w:val="15"/>
                  </w:numPr>
                  <w:autoSpaceDE/>
                  <w:autoSpaceDN/>
                  <w:spacing w:before="30" w:after="30"/>
                  <w:contextualSpacing/>
                  <w:rPr>
                    <w:rFonts w:ascii="Tahoma" w:hAnsi="Tahoma" w:cs="Tahoma"/>
                  </w:rPr>
                </w:pPr>
                <w:r>
                  <w:t xml:space="preserve">Ensuring all Care plans are up to date </w:t>
                </w:r>
              </w:p>
              <w:p w14:paraId="072FF92A" w14:textId="01A29479" w:rsidR="0064154B" w:rsidRPr="001152CC" w:rsidRDefault="003D6466" w:rsidP="00062C87">
                <w:pPr>
                  <w:pStyle w:val="ListParagraph"/>
                  <w:numPr>
                    <w:ilvl w:val="0"/>
                    <w:numId w:val="15"/>
                  </w:numPr>
                  <w:autoSpaceDE/>
                  <w:autoSpaceDN/>
                  <w:spacing w:before="30" w:after="30"/>
                  <w:contextualSpacing/>
                  <w:rPr>
                    <w:rFonts w:ascii="Tahoma" w:hAnsi="Tahoma" w:cs="Tahoma"/>
                  </w:rPr>
                </w:pPr>
                <w:r>
                  <w:t xml:space="preserve">Ensuring all Protocols are up to date </w:t>
                </w:r>
              </w:p>
              <w:p w14:paraId="6CDF0FF1" w14:textId="35AC87E2" w:rsidR="001152CC" w:rsidRPr="00771937" w:rsidRDefault="001152CC" w:rsidP="00062C87">
                <w:pPr>
                  <w:pStyle w:val="ListParagraph"/>
                  <w:numPr>
                    <w:ilvl w:val="0"/>
                    <w:numId w:val="15"/>
                  </w:numPr>
                  <w:autoSpaceDE/>
                  <w:autoSpaceDN/>
                  <w:spacing w:before="30" w:after="30"/>
                  <w:contextualSpacing/>
                  <w:rPr>
                    <w:rFonts w:ascii="Tahoma" w:hAnsi="Tahoma" w:cs="Tahoma"/>
                  </w:rPr>
                </w:pPr>
                <w:r>
                  <w:t xml:space="preserve">MCA are updated </w:t>
                </w:r>
              </w:p>
              <w:p w14:paraId="5AC22863" w14:textId="17BF5984" w:rsidR="00771937" w:rsidRPr="00EE13C9" w:rsidRDefault="00771937" w:rsidP="00062C87">
                <w:pPr>
                  <w:pStyle w:val="ListParagraph"/>
                  <w:numPr>
                    <w:ilvl w:val="0"/>
                    <w:numId w:val="15"/>
                  </w:numPr>
                  <w:autoSpaceDE/>
                  <w:autoSpaceDN/>
                  <w:spacing w:before="30" w:after="30"/>
                  <w:contextualSpacing/>
                  <w:rPr>
                    <w:rFonts w:ascii="Tahoma" w:hAnsi="Tahoma" w:cs="Tahoma"/>
                  </w:rPr>
                </w:pPr>
                <w:r>
                  <w:t xml:space="preserve">Ensuring all policies and </w:t>
                </w:r>
                <w:r w:rsidR="00EE13C9">
                  <w:t xml:space="preserve">procedures are followed </w:t>
                </w:r>
              </w:p>
              <w:p w14:paraId="1AB04B88" w14:textId="45D9BF92" w:rsidR="00EE13C9" w:rsidRPr="003A2944" w:rsidRDefault="00EE13C9" w:rsidP="00062C87">
                <w:pPr>
                  <w:pStyle w:val="ListParagraph"/>
                  <w:numPr>
                    <w:ilvl w:val="0"/>
                    <w:numId w:val="15"/>
                  </w:numPr>
                  <w:autoSpaceDE/>
                  <w:autoSpaceDN/>
                  <w:spacing w:before="30" w:after="30"/>
                  <w:contextualSpacing/>
                  <w:rPr>
                    <w:rFonts w:ascii="Tahoma" w:hAnsi="Tahoma" w:cs="Tahoma"/>
                  </w:rPr>
                </w:pPr>
                <w:r>
                  <w:t xml:space="preserve">Mentor </w:t>
                </w:r>
                <w:r w:rsidR="003A2944">
                  <w:t>new support staff into their roles</w:t>
                </w:r>
              </w:p>
              <w:p w14:paraId="2DF4F33F" w14:textId="6E8DEA0D" w:rsidR="004D572A" w:rsidRPr="00141E91" w:rsidRDefault="009A1BE1" w:rsidP="000837B4">
                <w:pPr>
                  <w:pStyle w:val="ListParagraph"/>
                  <w:numPr>
                    <w:ilvl w:val="0"/>
                    <w:numId w:val="15"/>
                  </w:numPr>
                  <w:autoSpaceDE/>
                  <w:autoSpaceDN/>
                  <w:spacing w:before="30" w:after="30"/>
                  <w:contextualSpacing/>
                  <w:rPr>
                    <w:rFonts w:ascii="Tahoma" w:hAnsi="Tahoma" w:cs="Tahoma"/>
                  </w:rPr>
                </w:pPr>
                <w:r>
                  <w:t>Supporting of transitions</w:t>
                </w:r>
              </w:p>
              <w:p w14:paraId="4DF5E868" w14:textId="6FF76838" w:rsidR="00141E91" w:rsidRPr="000837B4" w:rsidRDefault="00141E91" w:rsidP="000837B4">
                <w:pPr>
                  <w:pStyle w:val="ListParagraph"/>
                  <w:numPr>
                    <w:ilvl w:val="0"/>
                    <w:numId w:val="15"/>
                  </w:numPr>
                  <w:autoSpaceDE/>
                  <w:autoSpaceDN/>
                  <w:spacing w:before="30" w:after="30"/>
                  <w:contextualSpacing/>
                  <w:rPr>
                    <w:rFonts w:ascii="Tahoma" w:hAnsi="Tahoma" w:cs="Tahoma"/>
                  </w:rPr>
                </w:pPr>
                <w:r>
                  <w:t>Additional training if required for the support staff</w:t>
                </w:r>
              </w:p>
              <w:p w14:paraId="762695A1" w14:textId="77777777" w:rsidR="00771937" w:rsidRPr="00987203" w:rsidRDefault="00CE4598" w:rsidP="00771937">
                <w:pPr>
                  <w:pStyle w:val="ListParagraph"/>
                  <w:autoSpaceDE/>
                  <w:autoSpaceDN/>
                  <w:spacing w:before="30" w:after="30"/>
                  <w:contextualSpacing/>
                  <w:rPr>
                    <w:rFonts w:ascii="Tahoma" w:hAnsi="Tahoma" w:cs="Tahoma"/>
                  </w:rPr>
                </w:pPr>
              </w:p>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lastRenderedPageBreak/>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p w14:paraId="7C96C1F5" w14:textId="388D64BB" w:rsidR="00062C87" w:rsidRPr="00987203" w:rsidRDefault="00062C87" w:rsidP="00AC6117">
                <w:pPr>
                  <w:pStyle w:val="ListBullet"/>
                  <w:numPr>
                    <w:ilvl w:val="0"/>
                    <w:numId w:val="14"/>
                  </w:numPr>
                  <w:rPr>
                    <w:rFonts w:ascii="Tahoma" w:hAnsi="Tahoma" w:cs="Tahoma"/>
                  </w:rPr>
                </w:pPr>
                <w:r w:rsidRPr="00987203">
                  <w:rPr>
                    <w:rFonts w:ascii="Tahoma" w:hAnsi="Tahoma" w:cs="Tahoma"/>
                  </w:rPr>
                  <w:t xml:space="preserve">List bullet – Essential and Desirable </w:t>
                </w:r>
                <w:r w:rsidR="00BC0CD5" w:rsidRPr="00987203">
                  <w:rPr>
                    <w:rFonts w:ascii="Tahoma" w:hAnsi="Tahoma" w:cs="Tahoma"/>
                  </w:rPr>
                  <w:t>separately</w:t>
                </w:r>
              </w:p>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0650FBF4">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44A4EE26">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lastRenderedPageBreak/>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73C0C07A">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339B9C1D">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lastRenderedPageBreak/>
              <w:t>Last Updated By:</w:t>
            </w:r>
          </w:p>
        </w:tc>
        <w:sdt>
          <w:sdtPr>
            <w:id w:val="-1449767960"/>
            <w:placeholder>
              <w:docPart w:val="56E2429C18AA4E6B8ACAE146750E3F88"/>
            </w:placeholder>
            <w:showingPlcHdr/>
          </w:sdtPr>
          <w:sdtEndPr/>
          <w:sdtContent>
            <w:tc>
              <w:tcPr>
                <w:tcW w:w="3674" w:type="dxa"/>
              </w:tcPr>
              <w:p w14:paraId="1D5B15B8" w14:textId="77777777" w:rsidR="00062C87" w:rsidRPr="00987203" w:rsidRDefault="00062C87" w:rsidP="00AC6117">
                <w:r w:rsidRPr="00987203">
                  <w:rPr>
                    <w:rStyle w:val="PlaceholderText"/>
                  </w:rPr>
                  <w:t>Click or tap here to enter text.</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howingPlcHdr/>
          </w:sdtPr>
          <w:sdtEndPr/>
          <w:sdtContent>
            <w:tc>
              <w:tcPr>
                <w:tcW w:w="2104" w:type="dxa"/>
              </w:tcPr>
              <w:p w14:paraId="6C6A60B2" w14:textId="77777777" w:rsidR="00062C87" w:rsidRPr="00987203" w:rsidRDefault="00062C87" w:rsidP="00AC6117">
                <w:r w:rsidRPr="00987203">
                  <w:rPr>
                    <w:rStyle w:val="PlaceholderText"/>
                  </w:rPr>
                  <w:t>Click or tap here to enter text.</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24DB10E6" w14:textId="624D0249" w:rsidR="00924406" w:rsidRDefault="00924406" w:rsidP="00BC0CD5">
      <w:pPr>
        <w:rPr>
          <w:sz w:val="20"/>
          <w:szCs w:val="20"/>
        </w:rPr>
      </w:pPr>
    </w:p>
    <w:p w14:paraId="344E37B8" w14:textId="31AE9993" w:rsidR="00924406" w:rsidRDefault="002C14F1" w:rsidP="00924406">
      <w:pPr>
        <w:jc w:val="center"/>
        <w:rPr>
          <w:b/>
          <w:sz w:val="28"/>
          <w:szCs w:val="20"/>
        </w:rPr>
      </w:pPr>
      <w:r w:rsidRPr="002C14F1">
        <w:rPr>
          <w:b/>
          <w:sz w:val="28"/>
          <w:szCs w:val="20"/>
        </w:rPr>
        <w:t>Guidance for Completing the Job Profile Form</w:t>
      </w:r>
    </w:p>
    <w:p w14:paraId="12466EC0" w14:textId="77777777" w:rsidR="00161D02" w:rsidRDefault="00161D02" w:rsidP="00924406">
      <w:pPr>
        <w:jc w:val="center"/>
        <w:rPr>
          <w:sz w:val="20"/>
          <w:szCs w:val="20"/>
        </w:rPr>
      </w:pPr>
    </w:p>
    <w:p w14:paraId="2FBA7168" w14:textId="0FCDC9EB" w:rsidR="002C14F1" w:rsidRDefault="002C14F1" w:rsidP="002C14F1">
      <w:pPr>
        <w:pStyle w:val="ListParagraph"/>
        <w:numPr>
          <w:ilvl w:val="0"/>
          <w:numId w:val="14"/>
        </w:numPr>
        <w:rPr>
          <w:rFonts w:ascii="Tahoma" w:hAnsi="Tahoma" w:cs="Tahoma"/>
          <w:sz w:val="22"/>
        </w:rPr>
      </w:pPr>
      <w:r w:rsidRPr="00161D02">
        <w:rPr>
          <w:rFonts w:ascii="Tahoma" w:hAnsi="Tahoma" w:cs="Tahoma"/>
          <w:b/>
          <w:sz w:val="22"/>
        </w:rPr>
        <w:t>Department</w:t>
      </w:r>
      <w:r w:rsidRPr="002C14F1">
        <w:rPr>
          <w:rFonts w:ascii="Tahoma" w:hAnsi="Tahoma" w:cs="Tahoma"/>
          <w:sz w:val="22"/>
        </w:rPr>
        <w:br/>
        <w:t>Include the specific department (e.g., Recruitment). Where the role spans multiple services or locations, this may not be required.</w:t>
      </w:r>
    </w:p>
    <w:p w14:paraId="64C7E594" w14:textId="77777777" w:rsidR="00161D02" w:rsidRPr="002C14F1" w:rsidRDefault="00161D02" w:rsidP="00161D02">
      <w:pPr>
        <w:pStyle w:val="ListParagraph"/>
        <w:rPr>
          <w:rFonts w:ascii="Tahoma" w:hAnsi="Tahoma" w:cs="Tahoma"/>
          <w:sz w:val="22"/>
        </w:rPr>
      </w:pPr>
    </w:p>
    <w:p w14:paraId="1E9D804B" w14:textId="5ACE37BD" w:rsidR="002C14F1" w:rsidRDefault="002C14F1" w:rsidP="002C14F1">
      <w:pPr>
        <w:pStyle w:val="ListParagraph"/>
        <w:numPr>
          <w:ilvl w:val="0"/>
          <w:numId w:val="14"/>
        </w:numPr>
        <w:rPr>
          <w:rFonts w:ascii="Tahoma" w:hAnsi="Tahoma" w:cs="Tahoma"/>
          <w:sz w:val="22"/>
        </w:rPr>
      </w:pPr>
      <w:r w:rsidRPr="00161D02">
        <w:rPr>
          <w:rFonts w:ascii="Tahoma" w:hAnsi="Tahoma" w:cs="Tahoma"/>
          <w:b/>
          <w:sz w:val="22"/>
        </w:rPr>
        <w:t>Location/Services</w:t>
      </w:r>
      <w:r w:rsidRPr="002C14F1">
        <w:rPr>
          <w:rFonts w:ascii="Tahoma" w:hAnsi="Tahoma" w:cs="Tahoma"/>
          <w:sz w:val="22"/>
        </w:rPr>
        <w:br/>
        <w:t>Add the high-level location or service (e.g., People Services). For roles covering multiple services or locations (e.g., Support Worker), add the overarching discipline (e.g., Care).</w:t>
      </w:r>
    </w:p>
    <w:p w14:paraId="343D2614" w14:textId="4E525ABD" w:rsidR="00161D02" w:rsidRPr="002C14F1" w:rsidRDefault="00161D02" w:rsidP="00161D02">
      <w:pPr>
        <w:pStyle w:val="ListParagraph"/>
        <w:rPr>
          <w:rFonts w:ascii="Tahoma" w:hAnsi="Tahoma" w:cs="Tahoma"/>
          <w:sz w:val="22"/>
        </w:rPr>
      </w:pPr>
    </w:p>
    <w:p w14:paraId="1B4F8B19" w14:textId="2ADC9F59" w:rsidR="002C14F1" w:rsidRPr="00166C52" w:rsidRDefault="002C14F1" w:rsidP="002C14F1">
      <w:pPr>
        <w:pStyle w:val="ListParagraph"/>
        <w:numPr>
          <w:ilvl w:val="0"/>
          <w:numId w:val="14"/>
        </w:numPr>
        <w:rPr>
          <w:rFonts w:ascii="Tahoma" w:hAnsi="Tahoma" w:cs="Tahoma"/>
          <w:sz w:val="22"/>
        </w:rPr>
      </w:pPr>
      <w:r w:rsidRPr="00161D02">
        <w:rPr>
          <w:rFonts w:ascii="Tahoma" w:hAnsi="Tahoma" w:cs="Tahoma"/>
          <w:b/>
          <w:sz w:val="22"/>
        </w:rPr>
        <w:t>Reports To</w:t>
      </w:r>
      <w:r w:rsidRPr="002C14F1">
        <w:rPr>
          <w:rFonts w:ascii="Tahoma" w:hAnsi="Tahoma" w:cs="Tahoma"/>
          <w:sz w:val="22"/>
        </w:rPr>
        <w:br/>
      </w:r>
      <w:r w:rsidR="00161D02" w:rsidRPr="00161D02">
        <w:rPr>
          <w:rFonts w:ascii="Tahoma" w:hAnsi="Tahoma" w:cs="Tahoma"/>
          <w:sz w:val="22"/>
          <w:lang w:val="en-US"/>
        </w:rPr>
        <w:t xml:space="preserve">Specify the job title of the individual or role to whom this position will report. Ensure this aligns with </w:t>
      </w:r>
      <w:proofErr w:type="spellStart"/>
      <w:r w:rsidR="00161D02" w:rsidRPr="00161D02">
        <w:rPr>
          <w:rFonts w:ascii="Tahoma" w:hAnsi="Tahoma" w:cs="Tahoma"/>
          <w:sz w:val="22"/>
          <w:lang w:val="en-US"/>
        </w:rPr>
        <w:t>organisational</w:t>
      </w:r>
      <w:proofErr w:type="spellEnd"/>
      <w:r w:rsidR="00161D02" w:rsidRPr="00161D02">
        <w:rPr>
          <w:rFonts w:ascii="Tahoma" w:hAnsi="Tahoma" w:cs="Tahoma"/>
          <w:sz w:val="22"/>
          <w:lang w:val="en-US"/>
        </w:rPr>
        <w:t xml:space="preserve"> structure for clarity.</w:t>
      </w:r>
    </w:p>
    <w:p w14:paraId="655DA5CE" w14:textId="77777777" w:rsidR="00166C52" w:rsidRPr="00166C52" w:rsidRDefault="00166C52" w:rsidP="00166C52">
      <w:pPr>
        <w:pStyle w:val="ListParagraph"/>
        <w:rPr>
          <w:rFonts w:ascii="Tahoma" w:hAnsi="Tahoma" w:cs="Tahoma"/>
          <w:sz w:val="22"/>
        </w:rPr>
      </w:pPr>
    </w:p>
    <w:p w14:paraId="27A50ADF" w14:textId="48A5C222" w:rsidR="00161D02" w:rsidRPr="00166C52" w:rsidRDefault="00166C52" w:rsidP="00812015">
      <w:pPr>
        <w:pStyle w:val="ListParagraph"/>
        <w:numPr>
          <w:ilvl w:val="0"/>
          <w:numId w:val="14"/>
        </w:numPr>
        <w:rPr>
          <w:rFonts w:ascii="Tahoma" w:hAnsi="Tahoma" w:cs="Tahoma"/>
          <w:sz w:val="22"/>
        </w:rPr>
      </w:pPr>
      <w:r w:rsidRPr="00166C52">
        <w:rPr>
          <w:rFonts w:ascii="Tahoma" w:hAnsi="Tahoma" w:cs="Tahoma"/>
          <w:b/>
          <w:sz w:val="22"/>
        </w:rPr>
        <w:t>Responsible for</w:t>
      </w:r>
      <w:r w:rsidRPr="00166C52">
        <w:rPr>
          <w:rFonts w:ascii="Tahoma" w:hAnsi="Tahoma" w:cs="Tahoma"/>
          <w:sz w:val="22"/>
        </w:rPr>
        <w:br/>
      </w:r>
      <w:r w:rsidRPr="00166C52">
        <w:rPr>
          <w:rFonts w:ascii="Tahoma" w:hAnsi="Tahoma" w:cs="Tahoma"/>
          <w:sz w:val="22"/>
          <w:lang w:val="en-US"/>
        </w:rPr>
        <w:t xml:space="preserve">Specify the job titles of roles this position is responsible for or N/A if the role is not a People Manager.  </w:t>
      </w:r>
    </w:p>
    <w:p w14:paraId="12886857" w14:textId="77777777" w:rsidR="00166C52" w:rsidRPr="00166C52" w:rsidRDefault="00166C52" w:rsidP="00166C52">
      <w:pPr>
        <w:pStyle w:val="ListParagraph"/>
        <w:rPr>
          <w:rFonts w:ascii="Tahoma" w:hAnsi="Tahoma" w:cs="Tahoma"/>
          <w:sz w:val="22"/>
        </w:rPr>
      </w:pPr>
    </w:p>
    <w:p w14:paraId="55980D5B" w14:textId="62CF3D94" w:rsidR="002C14F1" w:rsidRDefault="002C14F1" w:rsidP="002C14F1">
      <w:pPr>
        <w:pStyle w:val="ListParagraph"/>
        <w:numPr>
          <w:ilvl w:val="0"/>
          <w:numId w:val="14"/>
        </w:numPr>
        <w:rPr>
          <w:rFonts w:ascii="Tahoma" w:hAnsi="Tahoma" w:cs="Tahoma"/>
          <w:sz w:val="22"/>
        </w:rPr>
      </w:pPr>
      <w:r w:rsidRPr="00161D02">
        <w:rPr>
          <w:rFonts w:ascii="Tahoma" w:hAnsi="Tahoma" w:cs="Tahoma"/>
          <w:b/>
          <w:sz w:val="22"/>
        </w:rPr>
        <w:t>Expected Regulatory Responsibility</w:t>
      </w:r>
      <w:r w:rsidRPr="002C14F1">
        <w:rPr>
          <w:rFonts w:ascii="Tahoma" w:hAnsi="Tahoma" w:cs="Tahoma"/>
          <w:sz w:val="22"/>
        </w:rPr>
        <w:br/>
        <w:t>Include any specific roles the post holder is expected to undertake, such as Registered Manager or Senior Information Risk Owner (SIRO).</w:t>
      </w:r>
    </w:p>
    <w:p w14:paraId="437A32A1" w14:textId="799A5A18" w:rsidR="00161D02" w:rsidRPr="002C14F1" w:rsidRDefault="00161D02" w:rsidP="00161D02">
      <w:pPr>
        <w:pStyle w:val="ListParagraph"/>
        <w:rPr>
          <w:rFonts w:ascii="Tahoma" w:hAnsi="Tahoma" w:cs="Tahoma"/>
          <w:sz w:val="22"/>
        </w:rPr>
      </w:pPr>
    </w:p>
    <w:p w14:paraId="439CFC06" w14:textId="712F1B12" w:rsidR="00161D02" w:rsidRPr="00161D02" w:rsidRDefault="002C14F1" w:rsidP="00BE7EE4">
      <w:pPr>
        <w:pStyle w:val="ListParagraph"/>
        <w:numPr>
          <w:ilvl w:val="0"/>
          <w:numId w:val="14"/>
        </w:numPr>
        <w:rPr>
          <w:rFonts w:ascii="Tahoma" w:hAnsi="Tahoma" w:cs="Tahoma"/>
          <w:sz w:val="22"/>
        </w:rPr>
      </w:pPr>
      <w:r w:rsidRPr="00161D02">
        <w:rPr>
          <w:rFonts w:ascii="Tahoma" w:hAnsi="Tahoma" w:cs="Tahoma"/>
          <w:b/>
          <w:sz w:val="22"/>
        </w:rPr>
        <w:lastRenderedPageBreak/>
        <w:t>Does the Role Require Travel to Multiple Sites?</w:t>
      </w:r>
      <w:r w:rsidRPr="00161D02">
        <w:rPr>
          <w:rFonts w:ascii="Tahoma" w:hAnsi="Tahoma" w:cs="Tahoma"/>
          <w:sz w:val="22"/>
        </w:rPr>
        <w:br/>
      </w:r>
      <w:r w:rsidR="00161D02" w:rsidRPr="00161D02">
        <w:rPr>
          <w:rFonts w:ascii="Tahoma" w:hAnsi="Tahoma" w:cs="Tahoma"/>
          <w:sz w:val="22"/>
          <w:lang w:val="en-US"/>
        </w:rPr>
        <w:t>If the role involves travel, list the sites or services this position will cover. For example, mention specific locations or regions where travel is expected.</w:t>
      </w:r>
    </w:p>
    <w:p w14:paraId="372E7E38" w14:textId="00598F94" w:rsidR="00161D02" w:rsidRPr="00161D02" w:rsidRDefault="00161D02" w:rsidP="00161D02">
      <w:pPr>
        <w:pStyle w:val="ListParagraph"/>
        <w:rPr>
          <w:rFonts w:ascii="Tahoma" w:hAnsi="Tahoma" w:cs="Tahoma"/>
          <w:sz w:val="22"/>
        </w:rPr>
      </w:pPr>
    </w:p>
    <w:p w14:paraId="0C343E97" w14:textId="23E71862" w:rsidR="002C14F1" w:rsidRDefault="002C14F1" w:rsidP="002C14F1">
      <w:pPr>
        <w:pStyle w:val="ListParagraph"/>
        <w:numPr>
          <w:ilvl w:val="0"/>
          <w:numId w:val="14"/>
        </w:numPr>
        <w:rPr>
          <w:rFonts w:ascii="Tahoma" w:hAnsi="Tahoma" w:cs="Tahoma"/>
          <w:sz w:val="22"/>
        </w:rPr>
      </w:pPr>
      <w:r w:rsidRPr="00161D02">
        <w:rPr>
          <w:rFonts w:ascii="Tahoma" w:hAnsi="Tahoma" w:cs="Tahoma"/>
          <w:b/>
          <w:sz w:val="22"/>
        </w:rPr>
        <w:t>Legal and Statutory Responsibilities for All Colleagues</w:t>
      </w:r>
      <w:r w:rsidRPr="002C14F1">
        <w:rPr>
          <w:rFonts w:ascii="Tahoma" w:hAnsi="Tahoma" w:cs="Tahoma"/>
          <w:sz w:val="22"/>
        </w:rPr>
        <w:br/>
      </w:r>
      <w:r w:rsidR="00161D02" w:rsidRPr="00161D02">
        <w:rPr>
          <w:rFonts w:ascii="Tahoma" w:hAnsi="Tahoma" w:cs="Tahoma"/>
          <w:sz w:val="22"/>
          <w:lang w:val="en-US"/>
        </w:rPr>
        <w:t>This section appears on all job profiles. If the role entails additional responsibilities beyond general statutory duties (e.g., Designated Safeguarding Lead or Information Governance Lead), outline them explicitly under the relevant sections.</w:t>
      </w:r>
    </w:p>
    <w:p w14:paraId="05FEC462" w14:textId="01B375D0" w:rsidR="00161D02" w:rsidRPr="002C14F1" w:rsidRDefault="00161D02" w:rsidP="00161D02">
      <w:pPr>
        <w:pStyle w:val="ListParagraph"/>
        <w:rPr>
          <w:rFonts w:ascii="Tahoma" w:hAnsi="Tahoma" w:cs="Tahoma"/>
          <w:sz w:val="22"/>
        </w:rPr>
      </w:pPr>
    </w:p>
    <w:p w14:paraId="352EFD96" w14:textId="77777777" w:rsidR="00161D02" w:rsidRPr="00161D02" w:rsidRDefault="002C14F1" w:rsidP="00161D02">
      <w:pPr>
        <w:pStyle w:val="ListParagraph"/>
        <w:numPr>
          <w:ilvl w:val="0"/>
          <w:numId w:val="14"/>
        </w:numPr>
        <w:rPr>
          <w:rFonts w:ascii="Tahoma" w:hAnsi="Tahoma" w:cs="Tahoma"/>
          <w:sz w:val="22"/>
          <w:lang w:val="en-US"/>
        </w:rPr>
      </w:pPr>
      <w:r w:rsidRPr="00161D02">
        <w:rPr>
          <w:rFonts w:ascii="Tahoma" w:hAnsi="Tahoma" w:cs="Tahoma"/>
          <w:b/>
          <w:sz w:val="22"/>
        </w:rPr>
        <w:t>Person Specification</w:t>
      </w:r>
      <w:r w:rsidRPr="002C14F1">
        <w:rPr>
          <w:rFonts w:ascii="Tahoma" w:hAnsi="Tahoma" w:cs="Tahoma"/>
          <w:sz w:val="22"/>
        </w:rPr>
        <w:br/>
      </w:r>
      <w:r w:rsidR="00161D02" w:rsidRPr="00161D02">
        <w:rPr>
          <w:rFonts w:ascii="Tahoma" w:hAnsi="Tahoma" w:cs="Tahoma"/>
          <w:sz w:val="22"/>
          <w:lang w:val="en-US"/>
        </w:rPr>
        <w:t>Provide the essential and desirable criteria for the role. This may include:</w:t>
      </w:r>
    </w:p>
    <w:p w14:paraId="66C3225B" w14:textId="77777777" w:rsidR="00161D02" w:rsidRPr="00161D02" w:rsidRDefault="00161D02" w:rsidP="00161D02">
      <w:pPr>
        <w:pStyle w:val="ListParagraph"/>
        <w:numPr>
          <w:ilvl w:val="1"/>
          <w:numId w:val="14"/>
        </w:numPr>
        <w:rPr>
          <w:rFonts w:ascii="Tahoma" w:hAnsi="Tahoma" w:cs="Tahoma"/>
          <w:sz w:val="22"/>
        </w:rPr>
      </w:pPr>
      <w:r w:rsidRPr="00161D02">
        <w:rPr>
          <w:rFonts w:ascii="Tahoma" w:hAnsi="Tahoma" w:cs="Tahoma"/>
          <w:b/>
          <w:bCs/>
          <w:sz w:val="22"/>
        </w:rPr>
        <w:t>Qualifications</w:t>
      </w:r>
      <w:r w:rsidRPr="00161D02">
        <w:rPr>
          <w:rFonts w:ascii="Tahoma" w:hAnsi="Tahoma" w:cs="Tahoma"/>
          <w:sz w:val="22"/>
        </w:rPr>
        <w:t>: Any mandatory or preferred educational or professional qualifications.</w:t>
      </w:r>
    </w:p>
    <w:p w14:paraId="6709E61B" w14:textId="77777777" w:rsidR="00161D02" w:rsidRPr="00161D02" w:rsidRDefault="00161D02" w:rsidP="00161D02">
      <w:pPr>
        <w:pStyle w:val="ListParagraph"/>
        <w:numPr>
          <w:ilvl w:val="1"/>
          <w:numId w:val="14"/>
        </w:numPr>
        <w:rPr>
          <w:rFonts w:ascii="Tahoma" w:hAnsi="Tahoma" w:cs="Tahoma"/>
          <w:sz w:val="22"/>
        </w:rPr>
      </w:pPr>
      <w:r w:rsidRPr="00161D02">
        <w:rPr>
          <w:rFonts w:ascii="Tahoma" w:hAnsi="Tahoma" w:cs="Tahoma"/>
          <w:b/>
          <w:bCs/>
          <w:sz w:val="22"/>
        </w:rPr>
        <w:t>Skills and Experience</w:t>
      </w:r>
      <w:r w:rsidRPr="00161D02">
        <w:rPr>
          <w:rFonts w:ascii="Tahoma" w:hAnsi="Tahoma" w:cs="Tahoma"/>
          <w:sz w:val="22"/>
        </w:rPr>
        <w:t>: Specify required skills, competencies, and professional experience.</w:t>
      </w:r>
    </w:p>
    <w:p w14:paraId="01CD8CFA" w14:textId="77777777" w:rsidR="00161D02" w:rsidRPr="00161D02" w:rsidRDefault="00161D02" w:rsidP="00161D02">
      <w:pPr>
        <w:pStyle w:val="ListParagraph"/>
        <w:numPr>
          <w:ilvl w:val="1"/>
          <w:numId w:val="14"/>
        </w:numPr>
        <w:rPr>
          <w:rFonts w:ascii="Tahoma" w:hAnsi="Tahoma" w:cs="Tahoma"/>
          <w:sz w:val="22"/>
        </w:rPr>
      </w:pPr>
      <w:r w:rsidRPr="00161D02">
        <w:rPr>
          <w:rFonts w:ascii="Tahoma" w:hAnsi="Tahoma" w:cs="Tahoma"/>
          <w:b/>
          <w:bCs/>
          <w:sz w:val="22"/>
        </w:rPr>
        <w:t>Physical Requirements</w:t>
      </w:r>
      <w:r w:rsidRPr="00161D02">
        <w:rPr>
          <w:rFonts w:ascii="Tahoma" w:hAnsi="Tahoma" w:cs="Tahoma"/>
          <w:sz w:val="22"/>
        </w:rPr>
        <w:t>: Note any physical capabilities relevant to the role (e.g., ability to perform physical interventions in line with Positive Behaviour Support protocols).</w:t>
      </w:r>
    </w:p>
    <w:p w14:paraId="4B51E69E" w14:textId="5947DE7B" w:rsidR="002C14F1" w:rsidRPr="002C14F1" w:rsidRDefault="002C14F1" w:rsidP="00161D02">
      <w:pPr>
        <w:pStyle w:val="ListParagraph"/>
        <w:rPr>
          <w:rFonts w:ascii="Tahoma" w:hAnsi="Tahoma" w:cs="Tahoma"/>
          <w:sz w:val="22"/>
        </w:rPr>
      </w:pPr>
    </w:p>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2D6" w14:textId="77777777" w:rsidR="00D2437F" w:rsidRDefault="00D2437F" w:rsidP="00D2437F">
      <w:r>
        <w:separator/>
      </w:r>
    </w:p>
  </w:endnote>
  <w:endnote w:type="continuationSeparator" w:id="0">
    <w:p w14:paraId="697CDB87" w14:textId="77777777" w:rsidR="00D2437F" w:rsidRDefault="00D2437F"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980" w14:textId="77777777" w:rsidR="00D2437F" w:rsidRDefault="00D2437F" w:rsidP="00D2437F">
      <w:r>
        <w:separator/>
      </w:r>
    </w:p>
  </w:footnote>
  <w:footnote w:type="continuationSeparator" w:id="0">
    <w:p w14:paraId="602C60B1" w14:textId="77777777" w:rsidR="00D2437F" w:rsidRDefault="00D2437F"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5066032">
    <w:abstractNumId w:val="13"/>
  </w:num>
  <w:num w:numId="2" w16cid:durableId="309485666">
    <w:abstractNumId w:val="18"/>
  </w:num>
  <w:num w:numId="3" w16cid:durableId="1605841686">
    <w:abstractNumId w:val="15"/>
  </w:num>
  <w:num w:numId="4" w16cid:durableId="626667356">
    <w:abstractNumId w:val="8"/>
  </w:num>
  <w:num w:numId="5" w16cid:durableId="92017826">
    <w:abstractNumId w:val="6"/>
  </w:num>
  <w:num w:numId="6" w16cid:durableId="1058282803">
    <w:abstractNumId w:val="12"/>
  </w:num>
  <w:num w:numId="7" w16cid:durableId="1131173185">
    <w:abstractNumId w:val="16"/>
  </w:num>
  <w:num w:numId="8" w16cid:durableId="2099017673">
    <w:abstractNumId w:val="10"/>
  </w:num>
  <w:num w:numId="9" w16cid:durableId="970554778">
    <w:abstractNumId w:val="1"/>
  </w:num>
  <w:num w:numId="10" w16cid:durableId="629019469">
    <w:abstractNumId w:val="3"/>
  </w:num>
  <w:num w:numId="11" w16cid:durableId="1985620405">
    <w:abstractNumId w:val="11"/>
  </w:num>
  <w:num w:numId="12" w16cid:durableId="667758557">
    <w:abstractNumId w:val="4"/>
  </w:num>
  <w:num w:numId="13" w16cid:durableId="439490479">
    <w:abstractNumId w:val="0"/>
  </w:num>
  <w:num w:numId="14" w16cid:durableId="984237357">
    <w:abstractNumId w:val="2"/>
  </w:num>
  <w:num w:numId="15" w16cid:durableId="1163547983">
    <w:abstractNumId w:val="17"/>
  </w:num>
  <w:num w:numId="16" w16cid:durableId="1255091738">
    <w:abstractNumId w:val="5"/>
  </w:num>
  <w:num w:numId="17" w16cid:durableId="1931498154">
    <w:abstractNumId w:val="9"/>
  </w:num>
  <w:num w:numId="18" w16cid:durableId="837961502">
    <w:abstractNumId w:val="14"/>
  </w:num>
  <w:num w:numId="19" w16cid:durableId="1945964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0A54"/>
    <w:rsid w:val="00021817"/>
    <w:rsid w:val="00062C87"/>
    <w:rsid w:val="00065969"/>
    <w:rsid w:val="000837B4"/>
    <w:rsid w:val="00104114"/>
    <w:rsid w:val="001152CC"/>
    <w:rsid w:val="00141E91"/>
    <w:rsid w:val="00161D02"/>
    <w:rsid w:val="00166C52"/>
    <w:rsid w:val="00186B9C"/>
    <w:rsid w:val="001E1B0C"/>
    <w:rsid w:val="0020598E"/>
    <w:rsid w:val="002711E2"/>
    <w:rsid w:val="002C14F1"/>
    <w:rsid w:val="003A2944"/>
    <w:rsid w:val="003C1C75"/>
    <w:rsid w:val="003C4208"/>
    <w:rsid w:val="003D6466"/>
    <w:rsid w:val="004500E3"/>
    <w:rsid w:val="00453DD9"/>
    <w:rsid w:val="004D572A"/>
    <w:rsid w:val="005221F4"/>
    <w:rsid w:val="005309CC"/>
    <w:rsid w:val="0057705E"/>
    <w:rsid w:val="006252FC"/>
    <w:rsid w:val="00635795"/>
    <w:rsid w:val="0064154B"/>
    <w:rsid w:val="00674770"/>
    <w:rsid w:val="006B3EFA"/>
    <w:rsid w:val="00707DE4"/>
    <w:rsid w:val="00716241"/>
    <w:rsid w:val="0074653C"/>
    <w:rsid w:val="00771937"/>
    <w:rsid w:val="007A0FF0"/>
    <w:rsid w:val="008450FD"/>
    <w:rsid w:val="008C5DE2"/>
    <w:rsid w:val="008D1F3E"/>
    <w:rsid w:val="008F3D6A"/>
    <w:rsid w:val="00900821"/>
    <w:rsid w:val="00920EC7"/>
    <w:rsid w:val="00924406"/>
    <w:rsid w:val="00983DEA"/>
    <w:rsid w:val="00987203"/>
    <w:rsid w:val="009A1BE1"/>
    <w:rsid w:val="009B6759"/>
    <w:rsid w:val="009E2251"/>
    <w:rsid w:val="00A267C7"/>
    <w:rsid w:val="00A5201B"/>
    <w:rsid w:val="00A9170E"/>
    <w:rsid w:val="00AA5C72"/>
    <w:rsid w:val="00AB6F84"/>
    <w:rsid w:val="00AF1AFA"/>
    <w:rsid w:val="00B13C5C"/>
    <w:rsid w:val="00B35E07"/>
    <w:rsid w:val="00BA19A2"/>
    <w:rsid w:val="00BB7A3A"/>
    <w:rsid w:val="00BC0CD5"/>
    <w:rsid w:val="00C37B33"/>
    <w:rsid w:val="00C52B05"/>
    <w:rsid w:val="00C96028"/>
    <w:rsid w:val="00CE4598"/>
    <w:rsid w:val="00D2437F"/>
    <w:rsid w:val="00D375B5"/>
    <w:rsid w:val="00DF38C3"/>
    <w:rsid w:val="00E061BC"/>
    <w:rsid w:val="00E22097"/>
    <w:rsid w:val="00E33E21"/>
    <w:rsid w:val="00EB1885"/>
    <w:rsid w:val="00EE0734"/>
    <w:rsid w:val="00EE13C9"/>
    <w:rsid w:val="00EF1AE6"/>
    <w:rsid w:val="00EF7B99"/>
    <w:rsid w:val="00F2356D"/>
    <w:rsid w:val="00F66ADE"/>
    <w:rsid w:val="00F9163E"/>
    <w:rsid w:val="00FA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4659B9"/>
    <w:rsid w:val="008A565B"/>
    <w:rsid w:val="00920EC7"/>
    <w:rsid w:val="00D375B5"/>
    <w:rsid w:val="00E06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8A565B"/>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Joseph Colton</cp:lastModifiedBy>
  <cp:revision>2</cp:revision>
  <cp:lastPrinted>2025-09-01T11:18:00Z</cp:lastPrinted>
  <dcterms:created xsi:type="dcterms:W3CDTF">2025-09-01T11:19:00Z</dcterms:created>
  <dcterms:modified xsi:type="dcterms:W3CDTF">2025-09-01T11:19:00Z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